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53" w:rsidRDefault="003B0F53">
      <w:pPr>
        <w:framePr w:w="740" w:hSpace="180" w:wrap="auto" w:vAnchor="text" w:hAnchor="page" w:x="5810" w:y="1"/>
        <w:ind w:right="-7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fillcolor="window">
            <v:imagedata r:id="rId5" o:title=""/>
          </v:shape>
        </w:pict>
      </w:r>
    </w:p>
    <w:p w:rsidR="003B0F53" w:rsidRDefault="003B0F53"/>
    <w:p w:rsidR="003B0F53" w:rsidRDefault="003B0F53">
      <w:pPr>
        <w:jc w:val="center"/>
        <w:rPr>
          <w:b/>
        </w:rPr>
      </w:pPr>
    </w:p>
    <w:p w:rsidR="003B0F53" w:rsidRDefault="003B0F53">
      <w:pPr>
        <w:jc w:val="center"/>
        <w:rPr>
          <w:b/>
        </w:rPr>
      </w:pPr>
    </w:p>
    <w:p w:rsidR="003B0F53" w:rsidRDefault="003B0F53">
      <w:pPr>
        <w:pStyle w:val="Heading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3B0F53" w:rsidRDefault="003B0F53" w:rsidP="00AB4B77">
      <w:pPr>
        <w:spacing w:after="0" w:line="240" w:lineRule="auto"/>
        <w:jc w:val="center"/>
        <w:rPr>
          <w:rFonts w:ascii="Georgia" w:hAnsi="Georgia"/>
          <w:sz w:val="32"/>
        </w:rPr>
      </w:pPr>
    </w:p>
    <w:p w:rsidR="003B0F53" w:rsidRDefault="003B0F53" w:rsidP="00AB4B77">
      <w:pPr>
        <w:pStyle w:val="Heading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3B0F53" w:rsidRDefault="003B0F53" w:rsidP="00AB4B77">
      <w:pPr>
        <w:spacing w:after="0" w:line="240" w:lineRule="auto"/>
      </w:pPr>
    </w:p>
    <w:p w:rsidR="003B0F53" w:rsidRPr="00AB4B77" w:rsidRDefault="003B0F53">
      <w:pPr>
        <w:rPr>
          <w:rFonts w:ascii="Times New Roman" w:hAnsi="Times New Roman"/>
          <w:sz w:val="28"/>
          <w:szCs w:val="28"/>
        </w:rPr>
      </w:pPr>
      <w:r w:rsidRPr="00AB4B77">
        <w:rPr>
          <w:rFonts w:ascii="Times New Roman" w:hAnsi="Times New Roman"/>
          <w:sz w:val="28"/>
          <w:szCs w:val="28"/>
        </w:rPr>
        <w:t>17.08.2018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B77">
        <w:rPr>
          <w:rFonts w:ascii="Times New Roman" w:hAnsi="Times New Roman"/>
          <w:sz w:val="28"/>
          <w:szCs w:val="28"/>
        </w:rPr>
        <w:t>№26-</w:t>
      </w:r>
      <w:r>
        <w:rPr>
          <w:rFonts w:ascii="Times New Roman" w:hAnsi="Times New Roman"/>
          <w:sz w:val="28"/>
          <w:szCs w:val="28"/>
        </w:rPr>
        <w:t>10/VІІ</w:t>
      </w:r>
      <w:r>
        <w:rPr>
          <w:rFonts w:ascii="Times New Roman" w:hAnsi="Times New Roman"/>
          <w:sz w:val="28"/>
          <w:szCs w:val="28"/>
        </w:rPr>
        <w:tab/>
      </w:r>
    </w:p>
    <w:p w:rsidR="003B0F53" w:rsidRDefault="003B0F53" w:rsidP="0042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Програми </w:t>
      </w:r>
    </w:p>
    <w:p w:rsidR="003B0F53" w:rsidRDefault="003B0F53" w:rsidP="0042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виконання Національного плану </w:t>
      </w:r>
    </w:p>
    <w:p w:rsidR="003B0F53" w:rsidRDefault="003B0F53" w:rsidP="0042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дій щодо реалізації Конвенції ООН </w:t>
      </w:r>
    </w:p>
    <w:p w:rsidR="003B0F53" w:rsidRDefault="003B0F53" w:rsidP="0042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права дитини у Черкаському районі</w:t>
      </w:r>
    </w:p>
    <w:p w:rsidR="003B0F53" w:rsidRDefault="003B0F53" w:rsidP="0042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2014-2018 роки</w:t>
      </w:r>
    </w:p>
    <w:p w:rsidR="003B0F53" w:rsidRDefault="003B0F53" w:rsidP="00162A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F53" w:rsidRPr="00C860BB" w:rsidRDefault="003B0F53" w:rsidP="00EB11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60BB">
        <w:rPr>
          <w:rFonts w:ascii="Times New Roman" w:hAnsi="Times New Roman"/>
          <w:sz w:val="28"/>
          <w:szCs w:val="28"/>
        </w:rPr>
        <w:t>Відпові</w:t>
      </w:r>
      <w:r>
        <w:rPr>
          <w:rFonts w:ascii="Times New Roman" w:hAnsi="Times New Roman"/>
          <w:sz w:val="28"/>
          <w:szCs w:val="28"/>
        </w:rPr>
        <w:t xml:space="preserve">дно до </w:t>
      </w:r>
      <w:r w:rsidRPr="00C860BB">
        <w:rPr>
          <w:rFonts w:ascii="Times New Roman" w:hAnsi="Times New Roman"/>
          <w:sz w:val="28"/>
          <w:szCs w:val="28"/>
        </w:rPr>
        <w:t xml:space="preserve">статті 43 Закону України «Про місцеве самоврядування в Україні», враховуючи клопотання Черкаської районної державної адміністрації від </w:t>
      </w:r>
      <w:r>
        <w:rPr>
          <w:rFonts w:ascii="Times New Roman" w:hAnsi="Times New Roman"/>
          <w:sz w:val="28"/>
          <w:szCs w:val="28"/>
        </w:rPr>
        <w:t>20.07</w:t>
      </w:r>
      <w:r w:rsidRPr="00C860B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C860B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</w:t>
      </w:r>
      <w:r w:rsidRPr="00C860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C860BB">
        <w:rPr>
          <w:rFonts w:ascii="Times New Roman" w:hAnsi="Times New Roman"/>
          <w:sz w:val="28"/>
          <w:szCs w:val="28"/>
        </w:rPr>
        <w:t xml:space="preserve">/01-41, за погодженням постійної комісії районної ради з питань охорони здоров`я, освіти, культури, молоді та спорту, президії районна рада </w:t>
      </w:r>
    </w:p>
    <w:p w:rsidR="003B0F53" w:rsidRDefault="003B0F53" w:rsidP="00FE1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60BB">
        <w:rPr>
          <w:rFonts w:ascii="Times New Roman" w:hAnsi="Times New Roman"/>
          <w:sz w:val="28"/>
          <w:szCs w:val="28"/>
        </w:rPr>
        <w:t xml:space="preserve">ВИРІШИЛА: </w:t>
      </w:r>
    </w:p>
    <w:p w:rsidR="003B0F53" w:rsidRDefault="003B0F53" w:rsidP="00FE1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зміни до Програми з виконання Національного плану дій щодо реалізації Конвенції ООН про права дитини у Черкаському районі на 2014-2018 роки (далі – Програма), затвердженої рішенням районної ради від 12.06.2014 №39-2/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860BB">
        <w:rPr>
          <w:rFonts w:ascii="Times New Roman" w:hAnsi="Times New Roman"/>
          <w:sz w:val="28"/>
          <w:szCs w:val="28"/>
        </w:rPr>
        <w:t>із змінами, внесеними рішенням</w:t>
      </w:r>
      <w:r>
        <w:rPr>
          <w:rFonts w:ascii="Times New Roman" w:hAnsi="Times New Roman"/>
          <w:sz w:val="28"/>
          <w:szCs w:val="28"/>
        </w:rPr>
        <w:t>и</w:t>
      </w:r>
      <w:r w:rsidRPr="00C860BB">
        <w:rPr>
          <w:rFonts w:ascii="Times New Roman" w:hAnsi="Times New Roman"/>
          <w:sz w:val="28"/>
          <w:szCs w:val="28"/>
        </w:rPr>
        <w:t xml:space="preserve"> районної ради від </w:t>
      </w:r>
      <w:r w:rsidRPr="0005481B">
        <w:rPr>
          <w:rFonts w:ascii="Times New Roman" w:hAnsi="Times New Roman"/>
          <w:sz w:val="28"/>
          <w:szCs w:val="28"/>
        </w:rPr>
        <w:t>27.02.2015 №49-13/</w:t>
      </w:r>
      <w:r w:rsidRPr="0005481B">
        <w:rPr>
          <w:rFonts w:ascii="Times New Roman" w:hAnsi="Times New Roman"/>
          <w:sz w:val="28"/>
          <w:szCs w:val="28"/>
          <w:lang w:val="en-US"/>
        </w:rPr>
        <w:t>VI</w:t>
      </w:r>
      <w:r w:rsidRPr="000548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05481B">
        <w:rPr>
          <w:rFonts w:ascii="Times New Roman" w:hAnsi="Times New Roman"/>
          <w:sz w:val="28"/>
          <w:szCs w:val="28"/>
        </w:rPr>
        <w:t>23.12.2016 №12-10/</w:t>
      </w:r>
      <w:r w:rsidRPr="0005481B">
        <w:rPr>
          <w:rFonts w:ascii="Times New Roman" w:hAnsi="Times New Roman"/>
          <w:sz w:val="28"/>
          <w:szCs w:val="28"/>
          <w:lang w:val="en-US"/>
        </w:rPr>
        <w:t>VI</w:t>
      </w:r>
      <w:r w:rsidRPr="0005481B">
        <w:rPr>
          <w:rFonts w:ascii="Times New Roman" w:hAnsi="Times New Roman"/>
          <w:sz w:val="28"/>
          <w:szCs w:val="28"/>
        </w:rPr>
        <w:t xml:space="preserve">І,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05481B">
        <w:rPr>
          <w:rFonts w:ascii="Times New Roman" w:hAnsi="Times New Roman"/>
          <w:sz w:val="28"/>
          <w:szCs w:val="28"/>
        </w:rPr>
        <w:t>02.06.2017 №15-8/</w:t>
      </w:r>
      <w:r w:rsidRPr="0005481B">
        <w:rPr>
          <w:rFonts w:ascii="Times New Roman" w:hAnsi="Times New Roman"/>
          <w:sz w:val="28"/>
          <w:szCs w:val="28"/>
          <w:lang w:val="en-US"/>
        </w:rPr>
        <w:t>VI</w:t>
      </w:r>
      <w:r w:rsidRPr="0005481B">
        <w:rPr>
          <w:rFonts w:ascii="Times New Roman" w:hAnsi="Times New Roman"/>
          <w:sz w:val="28"/>
          <w:szCs w:val="28"/>
        </w:rPr>
        <w:t xml:space="preserve">І, </w:t>
      </w:r>
      <w:r>
        <w:rPr>
          <w:rFonts w:ascii="Times New Roman" w:hAnsi="Times New Roman"/>
          <w:sz w:val="28"/>
          <w:szCs w:val="28"/>
        </w:rPr>
        <w:t xml:space="preserve">від </w:t>
      </w:r>
      <w:r w:rsidRPr="0005481B">
        <w:rPr>
          <w:rFonts w:ascii="Times New Roman" w:hAnsi="Times New Roman"/>
          <w:sz w:val="28"/>
          <w:szCs w:val="28"/>
        </w:rPr>
        <w:t>16.02.2018 №21-16/</w:t>
      </w:r>
      <w:r w:rsidRPr="0005481B">
        <w:rPr>
          <w:rFonts w:ascii="Times New Roman" w:hAnsi="Times New Roman"/>
          <w:sz w:val="28"/>
          <w:szCs w:val="28"/>
          <w:lang w:val="en-US"/>
        </w:rPr>
        <w:t>VI</w:t>
      </w:r>
      <w:r w:rsidRPr="0005481B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), виклавши</w:t>
      </w:r>
      <w:r w:rsidRPr="00462060">
        <w:rPr>
          <w:rFonts w:ascii="Times New Roman" w:hAnsi="Times New Roman"/>
          <w:sz w:val="28"/>
          <w:szCs w:val="28"/>
        </w:rPr>
        <w:t xml:space="preserve"> у новій редакції </w:t>
      </w:r>
      <w:r>
        <w:rPr>
          <w:rFonts w:ascii="Times New Roman" w:hAnsi="Times New Roman"/>
          <w:sz w:val="28"/>
          <w:szCs w:val="28"/>
        </w:rPr>
        <w:t>п</w:t>
      </w:r>
      <w:r w:rsidRPr="00462060">
        <w:rPr>
          <w:rFonts w:ascii="Times New Roman" w:hAnsi="Times New Roman"/>
          <w:sz w:val="28"/>
          <w:szCs w:val="28"/>
        </w:rPr>
        <w:t>ункт 1 розділу 7 «Захист прав дітей різних категорій» додатку 2 «Завдання і заходи програми з виконання Національного плану дій щодо реалізації Конвенції ООН про права дитини у Черкас</w:t>
      </w:r>
      <w:r>
        <w:rPr>
          <w:rFonts w:ascii="Times New Roman" w:hAnsi="Times New Roman"/>
          <w:sz w:val="28"/>
          <w:szCs w:val="28"/>
        </w:rPr>
        <w:t>ькому районі на 2014-2018 роки»:</w:t>
      </w:r>
    </w:p>
    <w:p w:rsidR="003B0F53" w:rsidRDefault="003B0F53" w:rsidP="00FE1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9"/>
        <w:gridCol w:w="1574"/>
        <w:gridCol w:w="3595"/>
        <w:gridCol w:w="1980"/>
        <w:gridCol w:w="1087"/>
        <w:gridCol w:w="816"/>
      </w:tblGrid>
      <w:tr w:rsidR="003B0F53" w:rsidRPr="004C6B2D" w:rsidTr="001B46A8">
        <w:tc>
          <w:tcPr>
            <w:tcW w:w="519" w:type="dxa"/>
          </w:tcPr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574" w:type="dxa"/>
          </w:tcPr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Назва заходу</w:t>
            </w:r>
          </w:p>
        </w:tc>
        <w:tc>
          <w:tcPr>
            <w:tcW w:w="3595" w:type="dxa"/>
          </w:tcPr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Зміст заходу</w:t>
            </w:r>
          </w:p>
        </w:tc>
        <w:tc>
          <w:tcPr>
            <w:tcW w:w="1980" w:type="dxa"/>
          </w:tcPr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1087" w:type="dxa"/>
          </w:tcPr>
          <w:p w:rsidR="003B0F53" w:rsidRPr="00FE18AD" w:rsidRDefault="003B0F53" w:rsidP="001B46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Орієнтов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ний обсяг видатків</w:t>
            </w:r>
          </w:p>
          <w:p w:rsidR="003B0F53" w:rsidRPr="00FE18AD" w:rsidRDefault="003B0F53" w:rsidP="001B46A8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(тис. грн)</w:t>
            </w:r>
          </w:p>
        </w:tc>
        <w:tc>
          <w:tcPr>
            <w:tcW w:w="816" w:type="dxa"/>
          </w:tcPr>
          <w:p w:rsidR="003B0F53" w:rsidRPr="00FE18AD" w:rsidRDefault="003B0F53" w:rsidP="00FE18A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Строк вико-</w:t>
            </w:r>
          </w:p>
          <w:p w:rsidR="003B0F53" w:rsidRPr="00FE18AD" w:rsidRDefault="003B0F53" w:rsidP="00FE18A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нання</w:t>
            </w:r>
          </w:p>
        </w:tc>
      </w:tr>
      <w:tr w:rsidR="003B0F53" w:rsidRPr="004C6B2D" w:rsidTr="004C6B2D">
        <w:tc>
          <w:tcPr>
            <w:tcW w:w="9571" w:type="dxa"/>
            <w:gridSpan w:val="6"/>
          </w:tcPr>
          <w:p w:rsidR="003B0F53" w:rsidRPr="00FE18AD" w:rsidRDefault="003B0F53" w:rsidP="00FE18AD">
            <w:pPr>
              <w:pStyle w:val="ListParagraph"/>
              <w:spacing w:after="0" w:line="240" w:lineRule="auto"/>
              <w:ind w:left="9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8AD">
              <w:rPr>
                <w:rFonts w:ascii="Times New Roman" w:hAnsi="Times New Roman"/>
                <w:b/>
                <w:sz w:val="24"/>
                <w:szCs w:val="24"/>
              </w:rPr>
              <w:t>7. Захист прав дітей різних категорій</w:t>
            </w:r>
          </w:p>
        </w:tc>
      </w:tr>
      <w:tr w:rsidR="003B0F53" w:rsidRPr="004C6B2D" w:rsidTr="001B46A8">
        <w:tc>
          <w:tcPr>
            <w:tcW w:w="519" w:type="dxa"/>
          </w:tcPr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3B0F53" w:rsidRPr="00FE18AD" w:rsidRDefault="003B0F53" w:rsidP="00FE18A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Забезпечення права дітей на безпечні та гідні умови для проживання, виховання та розвитку, права на виховання в сім’ї</w:t>
            </w:r>
          </w:p>
        </w:tc>
        <w:tc>
          <w:tcPr>
            <w:tcW w:w="3595" w:type="dxa"/>
          </w:tcPr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Своєчасно виявляти на території району дітей, які опинилися в складних життєвих обставинах,  здійснювати виїзди за місцем їх проживання та влаштування, вживати заходи з усунення складних життєвих обставин, відвідувати дітей, які тимчасово влаштовані до спеціалізованих дитячих закладів, надавати матеріальну допомогу дітям, які опинилися в складних життєвих обставинах (придбання одягу, речей особистої гігієни, шкільного приладдя, подарункових наборів)</w:t>
            </w:r>
          </w:p>
        </w:tc>
        <w:tc>
          <w:tcPr>
            <w:tcW w:w="1980" w:type="dxa"/>
          </w:tcPr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Черкаський р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йонний центр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ціальних служб для сім’ї, дітей та молоді,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луж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ба у справах ді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тей райдержад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міністрації, сіль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ські ради, об’єд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нані територіа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льні громади </w:t>
            </w:r>
          </w:p>
          <w:p w:rsidR="003B0F53" w:rsidRPr="00FE18AD" w:rsidRDefault="003B0F53" w:rsidP="00FE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B0F53" w:rsidRPr="00FE18AD" w:rsidRDefault="003B0F53" w:rsidP="00FE18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B0F53" w:rsidRPr="00FE18AD" w:rsidRDefault="003B0F53" w:rsidP="00FE18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FE18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FE18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5,00</w:t>
            </w:r>
          </w:p>
          <w:p w:rsidR="003B0F53" w:rsidRPr="00FE18AD" w:rsidRDefault="003B0F53" w:rsidP="00FE18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FE18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816" w:type="dxa"/>
          </w:tcPr>
          <w:p w:rsidR="003B0F53" w:rsidRPr="00FE18AD" w:rsidRDefault="003B0F53" w:rsidP="00FE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2014-2016</w:t>
            </w:r>
          </w:p>
          <w:p w:rsidR="003B0F53" w:rsidRPr="00FE18AD" w:rsidRDefault="003B0F53" w:rsidP="00FE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FE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B0F53" w:rsidRPr="00FE18AD" w:rsidRDefault="003B0F53" w:rsidP="00FE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FE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B0F53" w:rsidRPr="004C6B2D" w:rsidTr="001B46A8">
        <w:tc>
          <w:tcPr>
            <w:tcW w:w="519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Активізувати роботу з розвитку та підтримки сімейних форм виховання дітей (усиновлення, опіка, піклування, дитячі будинки сімейного типу, прийомні сім’ї, патронатна сім’я)</w:t>
            </w:r>
          </w:p>
        </w:tc>
        <w:tc>
          <w:tcPr>
            <w:tcW w:w="1980" w:type="dxa"/>
          </w:tcPr>
          <w:p w:rsidR="003B0F53" w:rsidRPr="00FE18AD" w:rsidRDefault="003B0F53" w:rsidP="00E508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Служба у спра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вах дітей райдерж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адміністрації,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Черкаський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районний центр соціальних служб для сім’ї, дітей та молоді, сільські ради, об’єднані територіальні громади  </w:t>
            </w:r>
          </w:p>
        </w:tc>
        <w:tc>
          <w:tcPr>
            <w:tcW w:w="1087" w:type="dxa"/>
          </w:tcPr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 xml:space="preserve">2014-2018 </w:t>
            </w:r>
          </w:p>
        </w:tc>
      </w:tr>
      <w:tr w:rsidR="003B0F53" w:rsidRPr="004C6B2D" w:rsidTr="001B46A8">
        <w:tc>
          <w:tcPr>
            <w:tcW w:w="519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Забезпечити права дітей, які перебувають (перебували) у зоні воєнних дій чи збройного конфлікту, впроваджувати заходи з метою їх соціально-психологічної реабілітації</w:t>
            </w:r>
          </w:p>
        </w:tc>
        <w:tc>
          <w:tcPr>
            <w:tcW w:w="1980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Служба у спра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вах дітей, відділ освіти райдерж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адміністрації,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Черкаський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районний центр соціальних служб для сім’ї, дітей та молоді, сільські ради, об’єднані терито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ріальні громади  </w:t>
            </w:r>
          </w:p>
        </w:tc>
        <w:tc>
          <w:tcPr>
            <w:tcW w:w="1087" w:type="dxa"/>
          </w:tcPr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B0F53" w:rsidRPr="004C6B2D" w:rsidTr="001B46A8">
        <w:tc>
          <w:tcPr>
            <w:tcW w:w="519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З метою своєчасного виявлення бездоглядних та безпритульних дітей, встановлення та притягнення до відповідальності дорослих осіб, які залучають дітей до протиправної діяльності, здійснюв</w:t>
            </w:r>
            <w:r>
              <w:rPr>
                <w:rFonts w:ascii="Times New Roman" w:hAnsi="Times New Roman"/>
                <w:sz w:val="24"/>
                <w:szCs w:val="24"/>
              </w:rPr>
              <w:t>ати виїзні профілактичні рейди «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Діти вулиці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Вокзал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Канікули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, проводити правову виховну роботу, виготовляти та розповсюджувати методичні та роздаткові матеріали   </w:t>
            </w:r>
          </w:p>
        </w:tc>
        <w:tc>
          <w:tcPr>
            <w:tcW w:w="1980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 xml:space="preserve">Служба у справах дітей райдержадміністрації, </w:t>
            </w:r>
          </w:p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Черкаське районне відділення поліції Черкаського відділу поліції ГУНП в Черкаській області</w:t>
            </w:r>
          </w:p>
        </w:tc>
        <w:tc>
          <w:tcPr>
            <w:tcW w:w="1087" w:type="dxa"/>
          </w:tcPr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2014-2017</w:t>
            </w:r>
          </w:p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B0F53" w:rsidRPr="004C6B2D" w:rsidTr="001B46A8">
        <w:tc>
          <w:tcPr>
            <w:tcW w:w="519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Здійснювати контроль за станом утримання та виховання дітей в сім’ях усиновителів, опікунів, піклувальників, прийомних сім’ях та дитячих будинках сімейного типу, патронатних сім’ях, здійснювати виїзди за місцем проживання дітей в цих сім’ях</w:t>
            </w:r>
          </w:p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0F53" w:rsidRPr="00FE18AD" w:rsidRDefault="003B0F53" w:rsidP="00E5089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Служба у спра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-вах дітей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райдерж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 xml:space="preserve">адміністрації,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Черкаський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ний центр соціаль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них слу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жб для сім’ї, дітей та молоді,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Черкаське районне відділен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ня поліції Черка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ського відділу поліції ГУНП в Черкаській області</w:t>
            </w:r>
          </w:p>
        </w:tc>
        <w:tc>
          <w:tcPr>
            <w:tcW w:w="1087" w:type="dxa"/>
          </w:tcPr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2014-2018</w:t>
            </w:r>
          </w:p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53" w:rsidRPr="004C6B2D" w:rsidTr="001B46A8">
        <w:tc>
          <w:tcPr>
            <w:tcW w:w="519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5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Забезпечити належну організа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цію роботи комісії з питань захисту прав дитини, ведення особових справ дітей-сиріт, дітей, позбавлених батьківсь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кого піклування, дітей, які мають право на усиновлення, та дітей, які опинилися у складних життєвих обставинах, ведення обліку дітей у Єдиній інформа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E18AD">
              <w:rPr>
                <w:rFonts w:ascii="Times New Roman" w:hAnsi="Times New Roman"/>
                <w:sz w:val="24"/>
                <w:szCs w:val="24"/>
              </w:rPr>
              <w:t>ційно-аналітичній системі "Діти" (придбання комп’ютерної техніки, оргтехніки, меблів, канцелярського, письмового та офісного приладдя, паперу та інших матеріально-технічних цінностей)</w:t>
            </w:r>
          </w:p>
        </w:tc>
        <w:tc>
          <w:tcPr>
            <w:tcW w:w="1980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Служба у справах дітей райдержадміністрації</w:t>
            </w:r>
          </w:p>
        </w:tc>
        <w:tc>
          <w:tcPr>
            <w:tcW w:w="1087" w:type="dxa"/>
          </w:tcPr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816" w:type="dxa"/>
          </w:tcPr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2014-2017</w:t>
            </w:r>
          </w:p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F53" w:rsidRPr="00FE18AD" w:rsidRDefault="003B0F53" w:rsidP="004C6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18A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3B0F53" w:rsidRPr="004C6B2D" w:rsidTr="001B46A8">
        <w:tc>
          <w:tcPr>
            <w:tcW w:w="519" w:type="dxa"/>
            <w:vMerge w:val="restart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8AD">
              <w:rPr>
                <w:rFonts w:ascii="Times New Roman" w:hAnsi="Times New Roman"/>
                <w:b/>
                <w:sz w:val="24"/>
                <w:szCs w:val="24"/>
              </w:rPr>
              <w:t>Разом за розділом 7</w:t>
            </w:r>
          </w:p>
        </w:tc>
        <w:tc>
          <w:tcPr>
            <w:tcW w:w="3595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18AD">
              <w:rPr>
                <w:rFonts w:ascii="Times New Roman" w:hAnsi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816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F53" w:rsidRPr="004C6B2D" w:rsidTr="001B46A8">
        <w:tc>
          <w:tcPr>
            <w:tcW w:w="519" w:type="dxa"/>
            <w:vMerge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9" w:type="dxa"/>
            <w:gridSpan w:val="3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8AD">
              <w:rPr>
                <w:rFonts w:ascii="Times New Roman" w:hAnsi="Times New Roman"/>
                <w:b/>
                <w:sz w:val="24"/>
                <w:szCs w:val="24"/>
              </w:rPr>
              <w:t>Разом по всіх розділах</w:t>
            </w:r>
          </w:p>
        </w:tc>
        <w:tc>
          <w:tcPr>
            <w:tcW w:w="1087" w:type="dxa"/>
          </w:tcPr>
          <w:p w:rsidR="003B0F53" w:rsidRPr="00FE18AD" w:rsidRDefault="003B0F53" w:rsidP="004C6B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E18AD">
              <w:rPr>
                <w:rFonts w:ascii="Times New Roman" w:hAnsi="Times New Roman"/>
                <w:b/>
                <w:sz w:val="24"/>
                <w:szCs w:val="24"/>
              </w:rPr>
              <w:t>2887,00</w:t>
            </w:r>
          </w:p>
        </w:tc>
        <w:tc>
          <w:tcPr>
            <w:tcW w:w="816" w:type="dxa"/>
          </w:tcPr>
          <w:p w:rsidR="003B0F53" w:rsidRPr="00FE18AD" w:rsidRDefault="003B0F53" w:rsidP="004C6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F53" w:rsidRDefault="003B0F53" w:rsidP="0083317D">
      <w:pPr>
        <w:pStyle w:val="ListParagraph"/>
        <w:tabs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3B0F53" w:rsidRDefault="003B0F53" w:rsidP="00BA6D8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Програми продовжити службі у справах дітей, відділу у справах сім´ї, молоді та спорту райдержадміністрації, Черкаському районному центру соціальних служб для сім´ї, дітей та молоді, постійній комісії районної ради з питань охорони здоров’</w:t>
      </w:r>
      <w:r w:rsidRPr="00B179EE">
        <w:rPr>
          <w:rFonts w:ascii="Times New Roman" w:hAnsi="Times New Roman"/>
          <w:sz w:val="28"/>
          <w:szCs w:val="28"/>
        </w:rPr>
        <w:t xml:space="preserve">я,  </w:t>
      </w:r>
      <w:r>
        <w:rPr>
          <w:rFonts w:ascii="Times New Roman" w:hAnsi="Times New Roman"/>
          <w:sz w:val="28"/>
          <w:szCs w:val="28"/>
        </w:rPr>
        <w:t>освіти, культури, молоді та сп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орту.</w:t>
      </w:r>
    </w:p>
    <w:p w:rsidR="003B0F53" w:rsidRDefault="003B0F53" w:rsidP="000D69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F53" w:rsidRDefault="003B0F53" w:rsidP="000D69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F53" w:rsidRPr="000D6951" w:rsidRDefault="003B0F53" w:rsidP="000D69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 районної  ради                                                                        О.П. Собко</w:t>
      </w:r>
    </w:p>
    <w:sectPr w:rsidR="003B0F53" w:rsidRPr="000D6951" w:rsidSect="002F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5A9D"/>
    <w:multiLevelType w:val="hybridMultilevel"/>
    <w:tmpl w:val="A3BCE51C"/>
    <w:lvl w:ilvl="0" w:tplc="D3B8C91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3B0A39E1"/>
    <w:multiLevelType w:val="hybridMultilevel"/>
    <w:tmpl w:val="4D2024F6"/>
    <w:lvl w:ilvl="0" w:tplc="0332F172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34FD"/>
    <w:rsid w:val="00025357"/>
    <w:rsid w:val="00051989"/>
    <w:rsid w:val="0005481B"/>
    <w:rsid w:val="000D6951"/>
    <w:rsid w:val="000D7994"/>
    <w:rsid w:val="001269B9"/>
    <w:rsid w:val="00162AF2"/>
    <w:rsid w:val="00193C1E"/>
    <w:rsid w:val="001942C2"/>
    <w:rsid w:val="001B46A8"/>
    <w:rsid w:val="001E1E88"/>
    <w:rsid w:val="002269D1"/>
    <w:rsid w:val="00235FB9"/>
    <w:rsid w:val="002C7D09"/>
    <w:rsid w:val="002F7D4C"/>
    <w:rsid w:val="00355169"/>
    <w:rsid w:val="003B0F53"/>
    <w:rsid w:val="003C722F"/>
    <w:rsid w:val="004134FD"/>
    <w:rsid w:val="004213EC"/>
    <w:rsid w:val="00422DD7"/>
    <w:rsid w:val="00462060"/>
    <w:rsid w:val="00492436"/>
    <w:rsid w:val="004C6B2D"/>
    <w:rsid w:val="00620DD4"/>
    <w:rsid w:val="00642C5D"/>
    <w:rsid w:val="0064732F"/>
    <w:rsid w:val="00647615"/>
    <w:rsid w:val="00680DCB"/>
    <w:rsid w:val="006C00BA"/>
    <w:rsid w:val="00721E20"/>
    <w:rsid w:val="00741305"/>
    <w:rsid w:val="007469DD"/>
    <w:rsid w:val="0075432E"/>
    <w:rsid w:val="00756CBC"/>
    <w:rsid w:val="00765269"/>
    <w:rsid w:val="0078729F"/>
    <w:rsid w:val="007C7EA7"/>
    <w:rsid w:val="0083317D"/>
    <w:rsid w:val="00851C0A"/>
    <w:rsid w:val="00857BDC"/>
    <w:rsid w:val="00864E1A"/>
    <w:rsid w:val="00875798"/>
    <w:rsid w:val="00927BAC"/>
    <w:rsid w:val="0094248E"/>
    <w:rsid w:val="0098113E"/>
    <w:rsid w:val="00996404"/>
    <w:rsid w:val="009F034F"/>
    <w:rsid w:val="009F63C6"/>
    <w:rsid w:val="00A12BA0"/>
    <w:rsid w:val="00A42B96"/>
    <w:rsid w:val="00A67304"/>
    <w:rsid w:val="00A925F2"/>
    <w:rsid w:val="00AA14CB"/>
    <w:rsid w:val="00AA1BD3"/>
    <w:rsid w:val="00AA720C"/>
    <w:rsid w:val="00AB17CF"/>
    <w:rsid w:val="00AB2E9D"/>
    <w:rsid w:val="00AB4B77"/>
    <w:rsid w:val="00B179EE"/>
    <w:rsid w:val="00B732A0"/>
    <w:rsid w:val="00BA6D8D"/>
    <w:rsid w:val="00C063FA"/>
    <w:rsid w:val="00C3700C"/>
    <w:rsid w:val="00C40959"/>
    <w:rsid w:val="00C444DC"/>
    <w:rsid w:val="00C604B1"/>
    <w:rsid w:val="00C860BB"/>
    <w:rsid w:val="00CE0AED"/>
    <w:rsid w:val="00CE5BBC"/>
    <w:rsid w:val="00CF3498"/>
    <w:rsid w:val="00D21A79"/>
    <w:rsid w:val="00D8009F"/>
    <w:rsid w:val="00D82C8C"/>
    <w:rsid w:val="00D87C32"/>
    <w:rsid w:val="00D96C0A"/>
    <w:rsid w:val="00DA74B5"/>
    <w:rsid w:val="00DB33E8"/>
    <w:rsid w:val="00DD50D7"/>
    <w:rsid w:val="00DE3CFD"/>
    <w:rsid w:val="00E5089D"/>
    <w:rsid w:val="00E97F7B"/>
    <w:rsid w:val="00EA4746"/>
    <w:rsid w:val="00EB11F1"/>
    <w:rsid w:val="00EF5E12"/>
    <w:rsid w:val="00F06D74"/>
    <w:rsid w:val="00F36DAC"/>
    <w:rsid w:val="00F53A85"/>
    <w:rsid w:val="00FC6699"/>
    <w:rsid w:val="00FE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B4B7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B4B7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0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3E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213EC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4134FD"/>
    <w:pPr>
      <w:ind w:left="720"/>
      <w:contextualSpacing/>
    </w:pPr>
  </w:style>
  <w:style w:type="table" w:styleId="TableGrid">
    <w:name w:val="Table Grid"/>
    <w:basedOn w:val="TableNormal"/>
    <w:uiPriority w:val="99"/>
    <w:rsid w:val="00F06D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3086</Words>
  <Characters>1760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admin</cp:lastModifiedBy>
  <cp:revision>18</cp:revision>
  <cp:lastPrinted>2018-07-20T11:55:00Z</cp:lastPrinted>
  <dcterms:created xsi:type="dcterms:W3CDTF">2018-07-20T11:55:00Z</dcterms:created>
  <dcterms:modified xsi:type="dcterms:W3CDTF">2018-08-23T09:11:00Z</dcterms:modified>
</cp:coreProperties>
</file>