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04" w:rsidRPr="00BC15ED" w:rsidRDefault="00F71304" w:rsidP="002D102B">
      <w:pPr>
        <w:framePr w:w="740" w:hSpace="180" w:wrap="auto" w:vAnchor="text" w:hAnchor="page" w:x="5810" w:y="1"/>
        <w:ind w:right="-7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3.25pt" fillcolor="window">
            <v:imagedata r:id="rId6" o:title=""/>
          </v:shape>
        </w:pict>
      </w:r>
    </w:p>
    <w:p w:rsidR="00F71304" w:rsidRPr="00E03E7B" w:rsidRDefault="00F71304" w:rsidP="002D102B">
      <w:pPr>
        <w:jc w:val="center"/>
        <w:rPr>
          <w:b/>
        </w:rPr>
      </w:pPr>
    </w:p>
    <w:p w:rsidR="00F71304" w:rsidRPr="00E03E7B" w:rsidRDefault="00F71304" w:rsidP="002D102B">
      <w:pPr>
        <w:jc w:val="center"/>
        <w:rPr>
          <w:b/>
        </w:rPr>
      </w:pPr>
    </w:p>
    <w:p w:rsidR="00F71304" w:rsidRPr="00E03E7B" w:rsidRDefault="00F71304" w:rsidP="002D102B">
      <w:pPr>
        <w:jc w:val="center"/>
      </w:pPr>
    </w:p>
    <w:p w:rsidR="00F71304" w:rsidRPr="000C71B6" w:rsidRDefault="00F71304" w:rsidP="002D102B">
      <w:pPr>
        <w:pStyle w:val="Heading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F71304" w:rsidRPr="002D102B" w:rsidRDefault="00F71304" w:rsidP="002D102B">
      <w:pPr>
        <w:jc w:val="center"/>
        <w:rPr>
          <w:rFonts w:ascii="Georgia" w:hAnsi="Georgia"/>
          <w:b/>
        </w:rPr>
      </w:pPr>
    </w:p>
    <w:p w:rsidR="00F71304" w:rsidRPr="002D102B" w:rsidRDefault="00F71304" w:rsidP="002D102B">
      <w:pPr>
        <w:pStyle w:val="Heading1"/>
        <w:jc w:val="center"/>
        <w:rPr>
          <w:rFonts w:ascii="Georgia" w:hAnsi="Georgia"/>
          <w:sz w:val="28"/>
          <w:szCs w:val="28"/>
        </w:rPr>
      </w:pPr>
      <w:r w:rsidRPr="002D102B">
        <w:rPr>
          <w:rFonts w:ascii="Georgia" w:hAnsi="Georgia"/>
          <w:sz w:val="28"/>
          <w:szCs w:val="28"/>
        </w:rPr>
        <w:t>РОЗПОРЯДЖЕННЯ</w:t>
      </w:r>
    </w:p>
    <w:p w:rsidR="00F71304" w:rsidRPr="00E85562" w:rsidRDefault="00F71304" w:rsidP="002D102B">
      <w:pPr>
        <w:pStyle w:val="Heading1"/>
        <w:rPr>
          <w:sz w:val="28"/>
          <w:szCs w:val="28"/>
        </w:rPr>
      </w:pPr>
    </w:p>
    <w:p w:rsidR="00F71304" w:rsidRPr="00E85562" w:rsidRDefault="00F71304" w:rsidP="002D10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562">
        <w:rPr>
          <w:rFonts w:ascii="Times New Roman" w:hAnsi="Times New Roman" w:cs="Times New Roman"/>
          <w:sz w:val="28"/>
          <w:szCs w:val="28"/>
          <w:lang w:val="uk-UA"/>
        </w:rPr>
        <w:t>23.01.</w:t>
      </w:r>
      <w:r w:rsidRPr="00E85562">
        <w:rPr>
          <w:rFonts w:ascii="Times New Roman" w:hAnsi="Times New Roman" w:cs="Times New Roman"/>
          <w:sz w:val="28"/>
          <w:szCs w:val="28"/>
        </w:rPr>
        <w:t>201</w:t>
      </w:r>
      <w:r w:rsidRPr="00E8556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85562">
        <w:rPr>
          <w:rFonts w:ascii="Times New Roman" w:hAnsi="Times New Roman" w:cs="Times New Roman"/>
          <w:sz w:val="28"/>
          <w:szCs w:val="28"/>
        </w:rPr>
        <w:tab/>
      </w:r>
      <w:r w:rsidRPr="00E85562">
        <w:rPr>
          <w:rFonts w:ascii="Times New Roman" w:hAnsi="Times New Roman" w:cs="Times New Roman"/>
          <w:sz w:val="28"/>
          <w:szCs w:val="28"/>
        </w:rPr>
        <w:tab/>
      </w:r>
      <w:r w:rsidRPr="00E85562">
        <w:rPr>
          <w:rFonts w:ascii="Times New Roman" w:hAnsi="Times New Roman" w:cs="Times New Roman"/>
          <w:sz w:val="28"/>
          <w:szCs w:val="28"/>
        </w:rPr>
        <w:tab/>
      </w:r>
      <w:r w:rsidRPr="00E85562">
        <w:rPr>
          <w:rFonts w:ascii="Times New Roman" w:hAnsi="Times New Roman" w:cs="Times New Roman"/>
          <w:sz w:val="28"/>
          <w:szCs w:val="28"/>
        </w:rPr>
        <w:tab/>
      </w:r>
      <w:r w:rsidRPr="00E85562">
        <w:rPr>
          <w:rFonts w:ascii="Times New Roman" w:hAnsi="Times New Roman" w:cs="Times New Roman"/>
          <w:sz w:val="28"/>
          <w:szCs w:val="28"/>
        </w:rPr>
        <w:tab/>
      </w:r>
      <w:r w:rsidRPr="00E85562">
        <w:rPr>
          <w:rFonts w:ascii="Times New Roman" w:hAnsi="Times New Roman" w:cs="Times New Roman"/>
          <w:sz w:val="28"/>
          <w:szCs w:val="28"/>
        </w:rPr>
        <w:tab/>
      </w:r>
      <w:r w:rsidRPr="00E85562">
        <w:rPr>
          <w:rFonts w:ascii="Times New Roman" w:hAnsi="Times New Roman" w:cs="Times New Roman"/>
          <w:sz w:val="28"/>
          <w:szCs w:val="28"/>
        </w:rPr>
        <w:tab/>
      </w:r>
      <w:r w:rsidRPr="00E85562">
        <w:rPr>
          <w:rFonts w:ascii="Times New Roman" w:hAnsi="Times New Roman" w:cs="Times New Roman"/>
          <w:sz w:val="28"/>
          <w:szCs w:val="28"/>
        </w:rPr>
        <w:tab/>
      </w:r>
      <w:r w:rsidRPr="00E85562">
        <w:rPr>
          <w:rFonts w:ascii="Times New Roman" w:hAnsi="Times New Roman" w:cs="Times New Roman"/>
          <w:sz w:val="28"/>
          <w:szCs w:val="28"/>
        </w:rPr>
        <w:tab/>
      </w:r>
      <w:r w:rsidRPr="00E85562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71304" w:rsidRPr="007D0EEB" w:rsidRDefault="00F71304" w:rsidP="002D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D0EEB">
        <w:rPr>
          <w:rFonts w:ascii="Times New Roman" w:hAnsi="Times New Roman" w:cs="Times New Roman"/>
          <w:sz w:val="28"/>
          <w:szCs w:val="28"/>
          <w:lang w:val="uk-UA" w:eastAsia="uk-UA"/>
        </w:rPr>
        <w:t>Про затвердження Положення</w:t>
      </w:r>
    </w:p>
    <w:p w:rsidR="00F71304" w:rsidRPr="007D0EEB" w:rsidRDefault="00F71304" w:rsidP="002D10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E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організацію ведення</w:t>
      </w:r>
    </w:p>
    <w:p w:rsidR="00F71304" w:rsidRDefault="00F71304" w:rsidP="002D10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D0E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бухгалтерського обліку </w:t>
      </w:r>
      <w:r w:rsidRPr="002D102B">
        <w:rPr>
          <w:rFonts w:ascii="Times New Roman" w:hAnsi="Times New Roman" w:cs="Times New Roman"/>
          <w:sz w:val="28"/>
          <w:szCs w:val="28"/>
          <w:lang w:val="uk-UA"/>
        </w:rPr>
        <w:t xml:space="preserve">у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виконавчому </w:t>
      </w:r>
    </w:p>
    <w:p w:rsidR="00F71304" w:rsidRPr="007D0EEB" w:rsidRDefault="00F71304" w:rsidP="002D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E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uk-UA"/>
        </w:rPr>
        <w:t>еркаської районної ради</w:t>
      </w:r>
    </w:p>
    <w:p w:rsidR="00F71304" w:rsidRPr="007D0EEB" w:rsidRDefault="00F71304" w:rsidP="002D10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2D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r w:rsidRPr="007D0EEB">
        <w:rPr>
          <w:rFonts w:ascii="Times New Roman" w:hAnsi="Times New Roman" w:cs="Times New Roman"/>
          <w:sz w:val="28"/>
          <w:szCs w:val="28"/>
          <w:lang w:val="uk-UA" w:eastAsia="uk-UA"/>
        </w:rPr>
        <w:t>стат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ті 55</w:t>
      </w:r>
      <w:r w:rsidRPr="007D0E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Закону України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7D0EEB">
        <w:rPr>
          <w:rFonts w:ascii="Times New Roman" w:hAnsi="Times New Roman" w:cs="Times New Roman"/>
          <w:sz w:val="28"/>
          <w:szCs w:val="28"/>
          <w:lang w:val="uk-UA" w:eastAsia="uk-UA"/>
        </w:rPr>
        <w:t>Про місцев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Pr="007D0E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самоврядування в Україні»</w:t>
      </w:r>
      <w:r w:rsidRPr="007D0E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статті 8 Закону України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7D0EEB">
        <w:rPr>
          <w:rFonts w:ascii="Times New Roman" w:hAnsi="Times New Roman" w:cs="Times New Roman"/>
          <w:sz w:val="28"/>
          <w:szCs w:val="28"/>
          <w:lang w:val="uk-UA" w:eastAsia="uk-UA"/>
        </w:rPr>
        <w:t>Про бухгалтерський облік та фінансову звітність в Україні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>, Типового положення про бухгалтерську службу бюджетної установи, затвердженого постановою Кабінету Міністрів України від 26.01.2011 № 59:</w:t>
      </w:r>
    </w:p>
    <w:p w:rsidR="00F71304" w:rsidRPr="007D0EEB" w:rsidRDefault="00F71304" w:rsidP="002D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EB">
        <w:rPr>
          <w:rFonts w:ascii="Times New Roman" w:hAnsi="Times New Roman" w:cs="Times New Roman"/>
          <w:sz w:val="28"/>
          <w:szCs w:val="28"/>
          <w:lang w:val="uk-UA"/>
        </w:rPr>
        <w:t xml:space="preserve">1. Затвердити Положення </w:t>
      </w:r>
      <w:r w:rsidRPr="007D0E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організацію ведення бухгалтерського обліку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виконавчому </w:t>
      </w:r>
      <w:r w:rsidRPr="007D0E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апараті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Черкаської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</w:t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1304" w:rsidRPr="007D0EEB" w:rsidRDefault="00F71304" w:rsidP="002D1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EB">
        <w:rPr>
          <w:rFonts w:ascii="Times New Roman" w:hAnsi="Times New Roman" w:cs="Times New Roman"/>
          <w:sz w:val="28"/>
          <w:szCs w:val="28"/>
          <w:lang w:val="uk-UA"/>
        </w:rPr>
        <w:t>2. Контроль за виконанням розпорядження покласти на заступника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Степанюка С.О. та начальника </w:t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>фінансово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виконавчого апарату районної ради Мирошниченко О.В.</w:t>
      </w:r>
    </w:p>
    <w:p w:rsidR="00F71304" w:rsidRPr="007D0EEB" w:rsidRDefault="00F71304" w:rsidP="002D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2D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2D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EB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0EE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О.П. Собко</w:t>
      </w: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7D0EEB" w:rsidRDefault="00F71304" w:rsidP="007D0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Default="00F71304" w:rsidP="0021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Додаток</w:t>
      </w:r>
    </w:p>
    <w:p w:rsidR="00F71304" w:rsidRDefault="00F71304" w:rsidP="0021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до розпорядження</w:t>
      </w:r>
    </w:p>
    <w:p w:rsidR="00F71304" w:rsidRDefault="00F71304" w:rsidP="0021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від </w:t>
      </w:r>
      <w:r w:rsidRPr="00E85562">
        <w:rPr>
          <w:rFonts w:ascii="Times New Roman" w:hAnsi="Times New Roman" w:cs="Times New Roman"/>
          <w:sz w:val="28"/>
          <w:szCs w:val="28"/>
          <w:lang w:val="uk-UA"/>
        </w:rPr>
        <w:t>23.01.</w:t>
      </w:r>
      <w:r w:rsidRPr="00E85562">
        <w:rPr>
          <w:rFonts w:ascii="Times New Roman" w:hAnsi="Times New Roman" w:cs="Times New Roman"/>
          <w:sz w:val="28"/>
          <w:szCs w:val="28"/>
        </w:rPr>
        <w:t>201</w:t>
      </w:r>
      <w:r w:rsidRPr="00E8556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5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71304" w:rsidRPr="007D0EEB" w:rsidRDefault="00F71304" w:rsidP="007D0EEB">
      <w:pPr>
        <w:pStyle w:val="BodyText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304" w:rsidRPr="00614004" w:rsidRDefault="00F71304" w:rsidP="006A762E">
      <w:pPr>
        <w:pStyle w:val="NormalWeb"/>
        <w:shd w:val="clear" w:color="auto" w:fill="FFFFFF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  <w:lang w:val="uk-UA"/>
        </w:rPr>
      </w:pPr>
      <w:r w:rsidRPr="00614004">
        <w:rPr>
          <w:sz w:val="28"/>
          <w:szCs w:val="28"/>
          <w:lang w:val="uk-UA"/>
        </w:rPr>
        <w:t>Положення</w:t>
      </w:r>
      <w:r w:rsidRPr="00614004">
        <w:rPr>
          <w:color w:val="000000"/>
          <w:sz w:val="28"/>
          <w:szCs w:val="28"/>
          <w:lang w:val="uk-UA"/>
        </w:rPr>
        <w:t xml:space="preserve"> </w:t>
      </w:r>
    </w:p>
    <w:p w:rsidR="00F71304" w:rsidRPr="00614004" w:rsidRDefault="00F71304" w:rsidP="00D6748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614004">
        <w:rPr>
          <w:color w:val="000000"/>
          <w:sz w:val="28"/>
          <w:szCs w:val="28"/>
          <w:lang w:val="uk-UA"/>
        </w:rPr>
        <w:t xml:space="preserve">про організацію ведення бухгалтерського обліку </w:t>
      </w:r>
    </w:p>
    <w:p w:rsidR="00F71304" w:rsidRPr="00614004" w:rsidRDefault="00F71304" w:rsidP="00D6748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614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виконавчому </w:t>
      </w:r>
      <w:r w:rsidRPr="00614004">
        <w:rPr>
          <w:color w:val="000000"/>
          <w:sz w:val="28"/>
          <w:szCs w:val="28"/>
          <w:lang w:val="uk-UA"/>
        </w:rPr>
        <w:t xml:space="preserve">апараті </w:t>
      </w:r>
      <w:r>
        <w:rPr>
          <w:color w:val="000000"/>
          <w:sz w:val="28"/>
          <w:szCs w:val="28"/>
          <w:lang w:val="uk-UA"/>
        </w:rPr>
        <w:t>Черкаської районної ради</w:t>
      </w:r>
    </w:p>
    <w:p w:rsidR="00F71304" w:rsidRPr="00614004" w:rsidRDefault="00F71304" w:rsidP="00D6748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F71304" w:rsidRPr="00614004" w:rsidRDefault="00F71304" w:rsidP="006A762E">
      <w:pPr>
        <w:pStyle w:val="NormalWeb"/>
        <w:shd w:val="clear" w:color="auto" w:fill="FFFFFF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  <w:lang w:val="uk-UA"/>
        </w:rPr>
      </w:pPr>
      <w:r w:rsidRPr="00614004">
        <w:rPr>
          <w:color w:val="000000"/>
          <w:sz w:val="28"/>
          <w:szCs w:val="28"/>
          <w:lang w:val="uk-UA"/>
        </w:rPr>
        <w:t>І. Загальні положення</w:t>
      </w:r>
    </w:p>
    <w:p w:rsidR="00F71304" w:rsidRPr="00614004" w:rsidRDefault="00F71304" w:rsidP="00066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614004">
        <w:rPr>
          <w:color w:val="000000"/>
          <w:sz w:val="28"/>
          <w:szCs w:val="28"/>
          <w:lang w:val="uk-UA"/>
        </w:rPr>
        <w:t xml:space="preserve">1. Положення про організацію ведення бухгалтерського обліку </w:t>
      </w:r>
      <w:r w:rsidRPr="00614004"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>у</w:t>
      </w:r>
      <w:r w:rsidRPr="00614004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виконавчому </w:t>
      </w:r>
      <w:r w:rsidRPr="00614004">
        <w:rPr>
          <w:color w:val="000000"/>
          <w:sz w:val="28"/>
          <w:szCs w:val="28"/>
          <w:lang w:val="uk-UA"/>
        </w:rPr>
        <w:t xml:space="preserve">апараті </w:t>
      </w:r>
      <w:r>
        <w:rPr>
          <w:color w:val="000000"/>
          <w:sz w:val="28"/>
          <w:szCs w:val="28"/>
          <w:lang w:val="uk-UA"/>
        </w:rPr>
        <w:t xml:space="preserve">Черкаської районної ради (далі – </w:t>
      </w:r>
      <w:r w:rsidRPr="00614004">
        <w:rPr>
          <w:color w:val="000000"/>
          <w:sz w:val="28"/>
          <w:szCs w:val="28"/>
          <w:lang w:val="uk-UA"/>
        </w:rPr>
        <w:t xml:space="preserve">Положення) визначає принципи, методи та процедури ведення бухгалтерського обліку, складання та подання фінансової звітності </w:t>
      </w:r>
      <w:r>
        <w:rPr>
          <w:color w:val="000000"/>
          <w:sz w:val="28"/>
          <w:szCs w:val="28"/>
          <w:lang w:val="uk-UA"/>
        </w:rPr>
        <w:t>у</w:t>
      </w:r>
      <w:r w:rsidRPr="0061400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виконавчому </w:t>
      </w:r>
      <w:r w:rsidRPr="00614004">
        <w:rPr>
          <w:color w:val="000000"/>
          <w:sz w:val="28"/>
          <w:szCs w:val="28"/>
          <w:lang w:val="uk-UA"/>
        </w:rPr>
        <w:t xml:space="preserve">апараті </w:t>
      </w:r>
      <w:r>
        <w:rPr>
          <w:color w:val="000000"/>
          <w:sz w:val="28"/>
          <w:szCs w:val="28"/>
          <w:lang w:val="uk-UA"/>
        </w:rPr>
        <w:t>районної ради.</w:t>
      </w:r>
    </w:p>
    <w:p w:rsidR="00F71304" w:rsidRPr="00614004" w:rsidRDefault="00F71304" w:rsidP="00066C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614004">
        <w:rPr>
          <w:color w:val="000000"/>
          <w:sz w:val="28"/>
          <w:szCs w:val="28"/>
          <w:shd w:val="clear" w:color="auto" w:fill="FFFFFF"/>
          <w:lang w:val="uk-UA"/>
        </w:rPr>
        <w:t xml:space="preserve">Бухгалтерський облік та фінансова звітність </w:t>
      </w:r>
      <w:r>
        <w:rPr>
          <w:color w:val="000000"/>
          <w:sz w:val="28"/>
          <w:szCs w:val="28"/>
          <w:shd w:val="clear" w:color="auto" w:fill="FFFFFF"/>
          <w:lang w:val="uk-UA"/>
        </w:rPr>
        <w:t>у виконавчому</w:t>
      </w:r>
      <w:r w:rsidRPr="00614004">
        <w:rPr>
          <w:color w:val="000000"/>
          <w:sz w:val="28"/>
          <w:szCs w:val="28"/>
          <w:shd w:val="clear" w:color="auto" w:fill="FFFFFF"/>
          <w:lang w:val="uk-UA"/>
        </w:rPr>
        <w:t xml:space="preserve"> апараті </w:t>
      </w:r>
      <w:r>
        <w:rPr>
          <w:color w:val="000000"/>
          <w:sz w:val="28"/>
          <w:szCs w:val="28"/>
          <w:shd w:val="clear" w:color="auto" w:fill="FFFFFF"/>
          <w:lang w:val="uk-UA"/>
        </w:rPr>
        <w:t>районної ради</w:t>
      </w:r>
      <w:r w:rsidRPr="00614004">
        <w:rPr>
          <w:color w:val="000000"/>
          <w:sz w:val="28"/>
          <w:szCs w:val="28"/>
          <w:shd w:val="clear" w:color="auto" w:fill="FFFFFF"/>
          <w:lang w:val="uk-UA"/>
        </w:rPr>
        <w:t xml:space="preserve"> грунтуються на основних принципах: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обачність </w:t>
      </w:r>
      <w:r>
        <w:rPr>
          <w:color w:val="000000"/>
          <w:sz w:val="28"/>
          <w:szCs w:val="28"/>
          <w:lang w:val="uk-UA"/>
        </w:rPr>
        <w:t xml:space="preserve">–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застосування в бухгалтерському обліку методів оцінки,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які повинні запобігати заниженню оцінки зобов’язань та витрат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завищенню оцінки активів і доходів підприємства;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повне висвітлення </w:t>
      </w:r>
      <w:r>
        <w:rPr>
          <w:color w:val="000000"/>
          <w:sz w:val="28"/>
          <w:szCs w:val="28"/>
          <w:lang w:val="uk-UA"/>
        </w:rPr>
        <w:t xml:space="preserve">–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фінансова звітність повинна містити всю інформацію про фактичні та потенційні наслідки господарських операцій та подій, здатних вплинути на рішення, що приймаються на її основі;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автономність </w:t>
      </w:r>
      <w:r>
        <w:rPr>
          <w:color w:val="000000"/>
          <w:sz w:val="28"/>
          <w:szCs w:val="28"/>
          <w:lang w:val="uk-UA"/>
        </w:rPr>
        <w:t xml:space="preserve">–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кожне підприємство розглядається як юридична особа, відокремлена від її власників, у зв’язку з чим особисте майно та зобов’язання власників не повинні відображатися у фінансовій звітності підприємства;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послідовність </w:t>
      </w:r>
      <w:r>
        <w:rPr>
          <w:color w:val="000000"/>
          <w:sz w:val="28"/>
          <w:szCs w:val="28"/>
          <w:lang w:val="uk-UA"/>
        </w:rPr>
        <w:t xml:space="preserve">–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постійне (із року в рік) застосування підприємством обраної облікової політики. Зміна облікової політики можлива лише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у випадках, передбачених національними положеннями (стандартами) бухгалтерського обліку, і повинна бути обгрунтована та розкрита у фінансовій звітності;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безперервність </w:t>
      </w:r>
      <w:r>
        <w:rPr>
          <w:color w:val="000000"/>
          <w:sz w:val="28"/>
          <w:szCs w:val="28"/>
          <w:lang w:val="uk-UA"/>
        </w:rPr>
        <w:t xml:space="preserve">–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оцінка активів та зобов’язань підприємства здійснюється виходячи з припущення, що його діяльність буде тривати далі;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нарахування та відповідність доходів і витрат </w:t>
      </w:r>
      <w:r>
        <w:rPr>
          <w:color w:val="000000"/>
          <w:sz w:val="28"/>
          <w:szCs w:val="28"/>
          <w:lang w:val="uk-UA"/>
        </w:rPr>
        <w:t xml:space="preserve">–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визначення фінансового результату звітного періоду необхідно порівняти доходи звітного періоду з витратами, що були здійснені для отримання цих доходів. При цьому доходи і витрати відображаються в бухгалтерському обліку та фінансовій звітності в момент їх виникнення, незалежно від дати надходження або сплати грошових коштів;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єдиний грошовий вимірник </w:t>
      </w:r>
      <w:r>
        <w:rPr>
          <w:color w:val="000000"/>
          <w:sz w:val="28"/>
          <w:szCs w:val="28"/>
          <w:lang w:val="uk-UA"/>
        </w:rPr>
        <w:t xml:space="preserve">–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вимірювання та узагальнення всіх господарських операцій підприємства у його фінансовій звітності здійснюється в єдиній грошовій одиниці;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періодичність </w:t>
      </w:r>
      <w:r>
        <w:rPr>
          <w:color w:val="000000"/>
          <w:sz w:val="28"/>
          <w:szCs w:val="28"/>
          <w:lang w:val="uk-UA"/>
        </w:rPr>
        <w:t xml:space="preserve">–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можливість розподілу діяльності підприємства на певні періоди часу з метою складання фінансової звітності.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Організація ведення бухгалтерського обліку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виконавчому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апараті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районної ради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має забезпечувати: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повноту, достовірність та своєчасність відображення фактів фінансово-господарської діяльності в бухгалтерському обліку та фінансовій звітності;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відображення в бухгалтерському обліку фактів фінансово-господарської діяльності не лише виходячи з їх правової форми, а й з урахуванням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  <w:t>їх економічного змісту;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дотримання вимог бюджетного законодавства, зокрема щодо економного та раціонального витрачання бюджетних коштів;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контроль за наявністю та рухом майна, використанням матеріальних (нематеріальних) ресурсів відповідно до затверджених нормативів, кошторисів і паспортів бюджетних програм;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запобігання виникненню негативних явищ у фінансово-господарській діяльності, виявлення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мобілізацію внутрішньогосподарських резервів.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 Організація ведення бухгалтерського обліку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виконавчому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апараті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районної ради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покладається на фінансово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господарськ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 відділ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виконавчого апарату районної ради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Відповідальність за організацію бухгалтерського обліку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виконавчому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апараті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районної ради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 також забезпечення фіксування фактів здійснення всіх фі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нансово-господарських операцій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первинних документах, збереження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роблених документів, регістрів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 звітності протягом встановленого терміну, але не менше трьох років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умови завершення ревізії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проведеної за сумарними показниками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фінансово-господарської діяльності,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несе начальник фінансового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господарського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виконавчого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апарату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районної ради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до законодавства.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71304" w:rsidRPr="00614004" w:rsidRDefault="00F71304" w:rsidP="00066C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ІІ. Організація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ведення бухгалтерського обліку у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виконавчому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 Для обліку записів господарських операцій в облікових регістрах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із забезпеченням їх збереження на електронних носіях та в паперовому вигляді застосовується меморіально-ордерна форма бухгалтерського  обліку  згідно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з Інструкцією про форми меморіальних ордерів бюджетних установ та порядок їх складання, затвердженою наказом Державного казначейства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від 27.07.2000 № 68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 зареєстрованого в Міністерстві юстиції України від 31.08.2000 за № 570/4791.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Меморіальні ордери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накопичувальні відомості повинні формуватися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не пізніше ніж до 10-го числа місяця, що настає за звітним періодом. Усі меморіальні ордери підлягають реєстрації у книзі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Журнал-головна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Облік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у книзі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Журнал-головна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ведеться по субрахунках.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Складання фінансової, бюджетної, податкової та статистичної звітності про фінансово-господарську діяльність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здійснюється на підставі даних регістрів бухгалтерського обліку за формами, встановленими відповідними нормативно-правовими актами України.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Бюджетним періодом є календарний рік. Проміжні облікові періоди </w:t>
      </w:r>
      <w:r>
        <w:rPr>
          <w:color w:val="000000"/>
          <w:sz w:val="28"/>
          <w:szCs w:val="28"/>
          <w:lang w:val="uk-UA"/>
        </w:rPr>
        <w:t xml:space="preserve">–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квартал, місяць. Звітність за такими періодами складається наростаючим підсумком із початку звітного року.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 Підставою для відображення операцій в бухгалтерському обліку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є первинний документ, який фіксує факт здійснення операції. Оформлення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та подання первинних документів слід здійснювати відповідно до вимог Положення про документальне забезпечення записів у бухгалтерському обліку, затвердженого наказом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Міністерства фінансів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від 24.05.1995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88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зареєстрован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05.06.1995 за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168/704. Строки опрацювання, контролю та здавання документів, визначені у схемі документообігу  фінансово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-г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осподарського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відділу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обов</w:t>
      </w:r>
      <w:r w:rsidRPr="006A762E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язковими для усіх працівників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фінансово-господарського відділу виконавчого апарату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(додаток 1).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 Первинні документи складаються в момент здійснення операції,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а якщо це неможливо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безпосередньо після її закінчення. Відповідальність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за своєчасне і якісне складання документів, передачу їх для відображення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в бухгалтерському обліку, за достовірність даних, наведених у документах, несуть особи, які склали та підписали ці документи.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Первинні документи повинні мати такі обов</w:t>
      </w:r>
      <w:r w:rsidRPr="006A762E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язкові реквізити: назва документа (форми), дата і місце складання, назва установи, 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якій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складено документ, зміст та обсяг фінансово-господарської операції, одиниця виміру операції, посади осіб, відповідальних за здійснення фінансово-господарської операції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правильність її оформлення, особисті підписи.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Інформація, що міститься у прийнятих до обліку первинних документах, накопичується і систематизується на рахунках бухгалтерського обліку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та в меморіальних ордерах.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У первинних документах і меморіальних ордерах виправлення помилок повинно бути підтверджене підписами посадових осіб. У   банківських документах виправлення не допускаються.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Первинні документи зберігаються 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ф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інансово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-г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осподарськ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ому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відділі 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протягом термінів, визначених номенклатурою справ Черкаської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 Відповідальність за збереження первинних документів несуть працівники відділу.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Після закінчення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ермін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ів зберігання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документи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постійним терміном зберігання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передаються до архіву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документи з тимчасовим терміном зберігання включаються до Акту про вилучення  для знищення документів не включених до Національного архівного фонду.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Відповідальність за своєчасну передачу документів до архіву несе начальник  фінансово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-г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осподарського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виконавчого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 Враховуючи План рахунків бухгалтерського обліку в державному секторі, затверджений наказом Міністерства фінансів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від 31.12.2013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1203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 зареєстровани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25.01.2014 за № 161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/24938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ля деталізації обліку грошових коштів, матеріальних цінностей, грошових документів, розрахунків використовується робочий план рахунків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апарату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(додаток 2).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 Для чіткого розмежування видатків бюджетних установ та одержувачів бюджетних коштів за економічними характеристиками операцій,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які здійснюються відповідно до функцій держави, застосовують економічну класифікацію видатків бюджету. Застосування кодів економічної класифікації видатків здійснюється згідно з Інструкцією щодо застосування економічної класифікації видатків бюджету, затвердженою наказом Міністерства фінансів України від 12.03.2012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333, зареєстровани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27.03.2012 за № 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456/20769.</w:t>
      </w:r>
    </w:p>
    <w:p w:rsidR="00F71304" w:rsidRDefault="00F71304" w:rsidP="001B6C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1304" w:rsidRPr="00614004" w:rsidRDefault="00F71304" w:rsidP="001B6C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ІІI. Організація обліку основних засобів та інших активів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 У бухгалтерському обліку формування інформації про основні засоби, інші необоротні матеріальні активи та незавершені капітальні інвестиції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в необоротні матеріальні активи здійснюється відповідно до Національного положення (стандарту) бухгалтерського обліку 121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Основні засоби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затвердженого наказом Міністерства фінансів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від 12.10.2010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 заре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єстрованим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01.11.2010 за № 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1017/18312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Методичних рекомендацій з бухгалтерського обліку основних засобів суб</w:t>
      </w:r>
      <w:r w:rsidRPr="001B6C32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єктів державного сектору, затверджених наказом Міністерства фінансів України від 23.01.2015 № 11.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Бухгалтерський облік нематеріальних активів здійснюється відповідно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до Національного положення (стандарту) бухгалтерського обліку 122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Нематеріальні активи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 затверджено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го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наказом Міністерства фінансів України від 12.10.2010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 зареєстрован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01.11.2010 за № 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1017/18312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Методичних рекомендацій з бухгалтерського обліку нематеріальних активів суб</w:t>
      </w:r>
      <w:r w:rsidRPr="001B6C32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єктів державного сектору, затверджених наказом Міністерства фінансів України від 23.01.2015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11.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До складу основних засобів відносяться необоротні активи, термін експлуатації яких перевищує один рік та первісна вартість за одиницю (комплект) яких складає 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до 6000,00 гривень включно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без урахування податку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на додану вартість. Необоротні активи, які були віднесені до складу основних засобів та нематеріальних активів до дати набрання чинності Національного положення (стандарту) бухгалтерського обліку 121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Основні засоби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та Національного положення (стандарту) бухгалтерського обліку 122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Нематеріальні активи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обліковуються у складі основних засобів та нематеріальних активів до їх вибуття (списання) з обліку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 Оприбуткування необоротних активів проводиться в гривнях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з копійками з обов</w:t>
      </w:r>
      <w:r w:rsidRPr="001B6C32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язковим складанням акта введення в експлуатацію.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 Амортизація на основні засоби (крім інших необоротних матеріальних активів), нематеріальних активів нараховується в гривнях з копійками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із застосуванням прямолінійного методу. Вартість об</w:t>
      </w:r>
      <w:r w:rsidRPr="001B6C32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єкта основних засобів розподіляється на систематичній основі протягом строку його корисного використання (експлуатації) шляхом нарахування амортизації на дату балансу щороку.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Нарахування амортизації починається з місяця, наступного за місяцем, 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у якому об</w:t>
      </w:r>
      <w:r w:rsidRPr="001B6C32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єкт основних засобів став придатним для корисного використання 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>та введений в експлуатацію.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визначення строків корисного використання основних засобів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та нематеріальних активів застосовуються строки корисного використання груп основних засобів, які визначені 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додатку 2 до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Положення про облікову політику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виконавчому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ради, затвердженого розпорядженням районної ради від 23.01.2017 № 4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 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Амортизація необоротних матеріальних активів нараховується в першому місяці передачі у використання об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єкта необоротних активів у розмірі 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br/>
        <w:t xml:space="preserve">50 відсотків його первісної вартості та решта 50 відсотків первісної вартості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місяці їх вилучення з активів (списання з балансу).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5. Операції з надходження, руху та вибуття основних засобів та інших необоротних матеріальних активів оформлюються первинними документами, затверджен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ими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наказом Міністерства фінансів України 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від 13.09.2016 № 818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Про затвердження типових форм з обліку та списання основних засобів суб’єктами державного сектору та порядку їх складання“, зареєстрованим в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Міністерстві юстиції України 07.10.2016 за № 1336/29466</w:t>
      </w:r>
      <w:r>
        <w:rPr>
          <w:rFonts w:ascii="Times New Roman" w:hAnsi="Times New Roman" w:cs="Times New Roman"/>
          <w:sz w:val="28"/>
          <w:szCs w:val="28"/>
          <w:lang w:val="uk-UA"/>
        </w:rPr>
        <w:t>, Положенням про порядок списання  основних засобів об’єктів районної комунальної власності, затвердженим рішенням районної ради від 10.06.2011№7-11/VI (із змінами)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6. Документи аналітичного обліку необоротних активів систематизуються за датами здійснення операцій та заносяться до меморіального ордера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Для контролю за правильністю бухгалтерських записів за рахунками аналітичного обліку складаються оборотні відомості за кожною групою субрахунків.</w:t>
      </w:r>
    </w:p>
    <w:p w:rsidR="00F71304" w:rsidRPr="00614004" w:rsidRDefault="00F71304" w:rsidP="003A1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 Оприбуткування основних засобів та інших активів здійснюється через матеріально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відповідальну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ос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обу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 Вартість малоцінних та швидкозношуваних предметів, що передані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в експлуатацію, виключається зі складу активів (списується з балансу)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з подальшою організацією оперативного кількісного обліку за місцем експлуатації відповідальними особами протягом строку їх фактичного використання.</w:t>
      </w:r>
    </w:p>
    <w:p w:rsidR="00F713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9. Для обліку операцій з витрачання матеріалів малоцінних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та швидкозношуваних предметів використовуються меморіальн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ордер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10,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16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 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1304" w:rsidRDefault="00F71304" w:rsidP="006A762E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ІV. Організація обліку коштів, розрахунків, інших активів та</w:t>
      </w:r>
    </w:p>
    <w:p w:rsidR="00F71304" w:rsidRPr="00614004" w:rsidRDefault="00F71304" w:rsidP="006A762E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зобов’язань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 Кошти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обліковуються на рахунках, відкритих в органах Державної казначейської служби України, відповідно до Порядку відкриття та закриття рахунків у національній валюті в органах Державної казначейської служби України, затверджено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го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наказом Міністерства фінансів України від 22.06.2012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758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 зареєстрован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18.07.2012 за № 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1206/21518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2. Після отримання товарів, робіт і послуг відповідно до умов взятого бюджетного зобов</w:t>
      </w:r>
      <w:r w:rsidRPr="001B6C32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язання приймається рішення про їх оплату та надається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до органів Державної казначейської служби України платіжне доручення на здійснення платежу з відповідними підтвердними документами.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 Списання коштів з рахунків на оплату видатків проводиться відповідно до затвердженого кошторису, за винятком операцій з безспірного списання коштів у випадках, установлених чинним законодавством України,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або помилкового, зайвого надходження коштів на рахунки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 Облік операцій з надходження бюджетних асигнувань загального фонду державного та місцевого бюджетів на рахунки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ради, а також видатків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здійснюється у меморіальному ордері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2, які нумерують окремо за кожною бюджетною програмою. Облік операцій з отримання власних надходжень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інших коштів спеціального фонду державного та місцевого бюджетів на рахунки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а також перерахування коштів ведеться в меморіальному ордері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3,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які нумерують окремо за кожною бюджетною програмою.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 Усі господарські відносини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з постачальниками товарів, робіт та послуг, покупцями, замовниками оформляються договорами. Договори укладаються з урахуванням вимог Господарського кодексу України, Цивільного кодексу України, Бюджетного кодексу України, Закону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6. Договори укладаються (крім довгострокових) виключно в межах бюджетних асигнувань, установлених кошторисами. Розрахунки з юридичними та фізичними особами (крім розрахунків з підзвітними особами) за товари, роботи та послуги здійснюються після їх отримання. Попередня оплата товарів, робіт та послуг дозволяється виключно у випадках, визначених постановою Кабінету Міністрів України від 23.04.2014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117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Про здійснення попередньої оплати товарів, робіт і послуг, що закуповуються за бюджетні кошти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(із змінами)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7. Аналітичний облік розрахунків із кредиторами ведеться 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меморіальному ордері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Накопичувальні відомості складаються в розрізі кодів економічної класифікації видатків. Записи в них здійснюються позиційним методом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за кожною операцією, що підтверджена відповідним документом (платіжним дорученням, рахунком-фактурою тощо).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Операції за розрахунками з дебіторами та кредиторами, що здійснюються за рахунок коштів спеціального фонду, ведуться в окремому ордері.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 Формування в бухгалтерському обліку інформації про зобов’язання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та розкриття їх у фінансовій звітності здійснюється відповідно до вимог Національного положення (стандарту) бухгалтерського обліку в державному секторі 128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Зобов’язання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 затвердженого наказом Мін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істерства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фін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ансів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від 24.12.2010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1629, зареєстрован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20.01.2011 за № 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93/18831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Порядку бухгалтерського обліку окремих активів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та зобов’язань бюджетних установ, затвердженого наказом Міністерства фінансів України від 02.04.2014 № 372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 зареєстрован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Міністерстві юстиції України 16.04.2014 за № 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426/25203.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Облік бюджетних зобов’язань здійснюється відповідно до вимог Бюджетного кодексу України,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, затвердженого наказом Міністерства фінансів України від 02.03.2012 № 309, зареєстрован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в Міністерстві юстиції України 20.03.2012 за № 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419/20732.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9. 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Фі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нансово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-г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осподарськ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ий відділ виконавчого апарату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реєструє бюджетні зобов’язання та здійснює платежі тільки в межах бюджетних асигнувань, передбачених кошторисами, враховуючи необхідність виконання бюджетних зобов’язань минулих років, узятих на облік органами Державної казначейської служби.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Бюджетні зобов</w:t>
      </w:r>
      <w:r w:rsidRPr="001B6C32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язання за спеціальним фондом бюджету реєструються виключно в межах відповідних фактичних надходжень спеціального фонду бюджету.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Будь-які бюджетні зобов</w:t>
      </w:r>
      <w:r w:rsidRPr="00614004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язання та платежі з бюджету здійснюються лише за наявності відповідного бюджетного призначення. Бюджетні зобов’язання реєструються в органах Державної казначейської служби України. 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1304" w:rsidRPr="00614004" w:rsidRDefault="00F71304" w:rsidP="006A762E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V. Організація обліку доходів та видатків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1. Облік доходів ведеться окремо по державному та місцевому бюджету.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Касові видатки відображаються в обліку в момент одержання коштів або перерахування коштів з поточного бюджетного рахунку. 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3. Фактичні видатки відображаються в обліку в момент здійснення господарських операцій на підставі актів списання, накладних, актів виконаних робіт тощо.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71304" w:rsidRPr="00614004" w:rsidRDefault="00F71304" w:rsidP="006A762E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VІ. Організація бухгалтерського обліку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1. Ведення бухгалтерського обліку покладено на фінансово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-гос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подарськ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ий відділ виконавчого апарату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який очолює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відділу.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Завдання та функціональні обов</w:t>
      </w:r>
      <w:r w:rsidRPr="001B6C32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язки відділу, повноваження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начальника відділу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визначено Типовим положенням про бухгалтерську службу бюджетної установи, затвердженим постановою Кабінету Міністрів України від 26.01.2011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59, Положенням про фінансово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господарськ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ий відділ виконавчого апарату районної ради,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затвердженого розпорядженням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голови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 (із змінами)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та посадовою інструкцією затвердженою голов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ою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1304" w:rsidRPr="00614004" w:rsidRDefault="00F71304" w:rsidP="0091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 Дел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егувати право підпису грошово-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розрахункових документів, господарських документів на придбання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використання основних засобів </w:t>
      </w:r>
      <w:r w:rsidRPr="006140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та інших нематеріальних активів, банківських та фінансових документів, чеків по виконанню кошторису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доходів і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видатків установи:</w:t>
      </w:r>
    </w:p>
    <w:p w:rsidR="00F71304" w:rsidRPr="00614004" w:rsidRDefault="00F71304" w:rsidP="0091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ершого підпису – голові  та заступнику голови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F71304" w:rsidRPr="00614004" w:rsidRDefault="00F71304" w:rsidP="0091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2)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ругого підпису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начальнику фінансово-господарського відділу виконавчого апарату районної ради.</w:t>
      </w:r>
    </w:p>
    <w:p w:rsidR="00F71304" w:rsidRPr="00614004" w:rsidRDefault="00F71304" w:rsidP="0091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абезпечити подання картки із зразками підпису в установи банку </w:t>
      </w:r>
      <w:r w:rsidRPr="006140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органи Державної казначейської служби з правом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двох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перших 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однієї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друг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підписів.</w:t>
      </w:r>
    </w:p>
    <w:p w:rsidR="00F71304" w:rsidRPr="00614004" w:rsidRDefault="00F71304" w:rsidP="0091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 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Оплата праці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відповідно до Кодексу законів про працю України, Бюджетного кодексу України, Закону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“,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службу в органах місцевого самоврядування», 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Про індексацію грошових доходів населення“, постанов Кабінету Міністрів України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09.03.2006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uk-UA"/>
        </w:rPr>
        <w:t>268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 упорядкування структури та умов оплати праці працівників апарату органів виконавчої влади, органів прокуратури,судів та інших органів» (із змінами)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від 09.12.2015 №1013 « Про упорядкування структури заробітної плати, особливості проведення індексації та внесення змін до деяких нормативно-правових актів»,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преміювання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 виконавчого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06.06.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56 (із змінами)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,  та іншими нормативно-правовими актами,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регл</w:t>
      </w:r>
      <w:r>
        <w:rPr>
          <w:rFonts w:ascii="Times New Roman" w:hAnsi="Times New Roman" w:cs="Times New Roman"/>
          <w:sz w:val="28"/>
          <w:szCs w:val="28"/>
          <w:lang w:val="uk-UA"/>
        </w:rPr>
        <w:t>аментують питання оплати праці:</w:t>
      </w:r>
    </w:p>
    <w:p w:rsidR="00F71304" w:rsidRDefault="00F71304" w:rsidP="00066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сі розрахунки з працівниками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апарату з оплати праці проводяться  фінансово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господарськ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відділом 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через їх особові поточні рахунки, операції за якими можуть здійснюватися з використанням електро</w:t>
      </w:r>
      <w:r>
        <w:rPr>
          <w:rFonts w:ascii="Times New Roman" w:hAnsi="Times New Roman" w:cs="Times New Roman"/>
          <w:sz w:val="28"/>
          <w:szCs w:val="28"/>
          <w:lang w:val="uk-UA"/>
        </w:rPr>
        <w:t>нних платіжних засобів, відкритих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в установі банку, з якою укладено договір на розрахунково-касове обслуговування з видачі заробітної плати з використанням платіжних карток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1304" w:rsidRPr="00614004" w:rsidRDefault="00F71304" w:rsidP="00066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ля обліку робочого часу використовується табель обліку використання робочого часу,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ведеться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загальним 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відділом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1304" w:rsidRPr="00614004" w:rsidRDefault="00F71304" w:rsidP="00066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004">
        <w:rPr>
          <w:rFonts w:ascii="Times New Roman" w:hAnsi="Times New Roman" w:cs="Times New Roman"/>
          <w:sz w:val="28"/>
          <w:szCs w:val="28"/>
          <w:lang w:val="uk-UA"/>
        </w:rPr>
        <w:t>Неточності в табелі обліку робочого часу виправляються через оформлення додаткових (уточнюючих) табелів за минулий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1304" w:rsidRPr="007F1EAB" w:rsidRDefault="00F71304" w:rsidP="00066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аробітна плата виплачується працівникам регулярно в робочі дні </w:t>
      </w:r>
      <w:r w:rsidRPr="00614004">
        <w:rPr>
          <w:rFonts w:ascii="Times New Roman" w:hAnsi="Times New Roman" w:cs="Times New Roman"/>
          <w:sz w:val="28"/>
          <w:szCs w:val="28"/>
        </w:rPr>
        <w:br/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не рідше двох разів на місяць через проміжок часу, що не перевищує шістнадцяти календарних днів. У разі </w:t>
      </w:r>
      <w:r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день виплати заробітної плати збігається з вихідним, святковим або неробочим днем, заробітна </w:t>
      </w:r>
      <w:r>
        <w:rPr>
          <w:rFonts w:ascii="Times New Roman" w:hAnsi="Times New Roman" w:cs="Times New Roman"/>
          <w:sz w:val="28"/>
          <w:szCs w:val="28"/>
          <w:lang w:val="uk-UA"/>
        </w:rPr>
        <w:t>плата виплачується напередодні</w:t>
      </w:r>
      <w:r w:rsidRPr="007F1EAB">
        <w:rPr>
          <w:rFonts w:ascii="Times New Roman" w:hAnsi="Times New Roman" w:cs="Times New Roman"/>
          <w:sz w:val="28"/>
          <w:szCs w:val="28"/>
        </w:rPr>
        <w:t>.</w:t>
      </w:r>
    </w:p>
    <w:p w:rsidR="00F71304" w:rsidRPr="007F1EAB" w:rsidRDefault="00F71304" w:rsidP="00066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004">
        <w:rPr>
          <w:rFonts w:ascii="Times New Roman" w:hAnsi="Times New Roman" w:cs="Times New Roman"/>
          <w:sz w:val="28"/>
          <w:szCs w:val="28"/>
          <w:lang w:val="uk-UA"/>
        </w:rPr>
        <w:t>Розмір заробітної плати за першу половину місяця визначається                в розмірі не менше оплати за фактично відпрацьований час з розрахунку нарахованого за такий періо</w:t>
      </w:r>
      <w:r>
        <w:rPr>
          <w:rFonts w:ascii="Times New Roman" w:hAnsi="Times New Roman" w:cs="Times New Roman"/>
          <w:sz w:val="28"/>
          <w:szCs w:val="28"/>
          <w:lang w:val="uk-UA"/>
        </w:rPr>
        <w:t>д фонду оплати праці працівника;</w:t>
      </w:r>
    </w:p>
    <w:p w:rsidR="00F71304" w:rsidRPr="007F1EAB" w:rsidRDefault="00F71304" w:rsidP="00066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00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працівникам виконавчого апарату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при наданні щорічної відпустки здійснюється виплата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допомоги для оздоровлення 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4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розмірі середньомісячної заробітної плати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, один раз на календарний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1304" w:rsidRPr="00614004" w:rsidRDefault="00F71304" w:rsidP="00066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рацівникам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може надаватися матеріальна допомога для вирішення соціально-побутових питань в розмірі, що не перевищує середньомісячної заробітної плати, один раз на календарний рік на підставі особистої заяви працівника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1304" w:rsidRPr="00614004" w:rsidRDefault="00F71304" w:rsidP="00066C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арахування виплат по листках тимчасової непрацездатності здійснюється  фінансово</w:t>
      </w:r>
      <w:r>
        <w:rPr>
          <w:rFonts w:ascii="Times New Roman" w:hAnsi="Times New Roman" w:cs="Times New Roman"/>
          <w:sz w:val="28"/>
          <w:szCs w:val="28"/>
          <w:lang w:val="uk-UA"/>
        </w:rPr>
        <w:t>-г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осподарськ</w:t>
      </w:r>
      <w:r>
        <w:rPr>
          <w:rFonts w:ascii="Times New Roman" w:hAnsi="Times New Roman" w:cs="Times New Roman"/>
          <w:sz w:val="28"/>
          <w:szCs w:val="28"/>
          <w:lang w:val="uk-UA"/>
        </w:rPr>
        <w:t>им відділом виконавчого апарату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первинних документів в залежності від страхового стажу працівників, який визначає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  секретаріату 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 Службовим відрядженням вважається поїздка за розпорядженням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районної ради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певний термін до іншого населеного пункту для виконання службового доручення.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Направлення працівників у відрядження та відшкодування витрат здійснюються відповідно до постанови Кабінету Міністрів України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від 02.02.2011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98 </w:t>
      </w:r>
      <w:r w:rsidRPr="00614004">
        <w:rPr>
          <w:rFonts w:ascii="Times New Roman" w:hAnsi="Times New Roman" w:cs="Times New Roman"/>
          <w:sz w:val="28"/>
          <w:szCs w:val="28"/>
          <w:lang w:val="uk-UA" w:eastAsia="uk-UA"/>
        </w:rPr>
        <w:t>„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</w:t>
      </w:r>
      <w:r w:rsidRPr="0061400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Інструкції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про службові відрядження в межах України та за кордон, затвердженою наказом Міністерства фінансів України від 13.03.1998 № 59, зареєстрован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в Міністерстві юстиції України 31.03.1998 за № 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218/2658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Операції з розрахунків з підзвітними особами ведуться в розрізі кодів економічної класифікації видатків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 накопичувальній відомості –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меморіальному ордері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Операції з розрахунків з підзвітними особами, </w:t>
      </w:r>
      <w:r w:rsidRPr="006140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які здійснюються за рахунок коштів спеціального фонду бюджету, ведуться </w:t>
      </w:r>
      <w:r w:rsidRPr="006140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в окремому ордері.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 Кошти повинні використовуватися тільки на цілі, передбачені бюджетними призначеннями по напрямах, визначених у паспорті бюджетної програми.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. Інвентаризація активів і зобов’язань проводиться з метою забезпечення достовірності даних бухгалтерського обліку та фінансової звітності.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 час інвентаризації активів і зобов’язань перевіряються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і документально підтверджуються їх фактична наявність, стан, відповідність критеріям, повнота відображення зобов’язань, виявляються лишки або нестачі активів шляхом зіставляння фактичної наявності з даними бухгалтерського обліку.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ході проведення інвентаризації виявляються активи, які частково втратили свою первісну якість, а також матеріальні і нематеріальні активи, </w:t>
      </w:r>
      <w:r w:rsidRPr="006140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що не використовуються.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Інвентаризація проводиться у випадках та у терміни, що визначені Положенням про інвентаризацію активів та зобов’язань, затвердженим наказом Міністерства фінансів України від 02.09.2014 №879, зареєстрован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им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br/>
        <w:t>в Міністерстві юстиції України 30.10.2014 за № </w:t>
      </w:r>
      <w:r w:rsidRPr="0061400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1365/26142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підставі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районної ради від 26.11.2010 №82, 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в якому визначено терміни її проведення та затверджено склад комісії.</w:t>
      </w:r>
    </w:p>
    <w:p w:rsidR="00F71304" w:rsidRPr="00614004" w:rsidRDefault="00F71304" w:rsidP="00066C4A">
      <w:pPr>
        <w:pStyle w:val="Header"/>
        <w:tabs>
          <w:tab w:val="left" w:pos="595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14004">
        <w:rPr>
          <w:rFonts w:ascii="Times New Roman" w:hAnsi="Times New Roman"/>
          <w:sz w:val="28"/>
          <w:szCs w:val="28"/>
          <w:lang w:eastAsia="ru-RU"/>
        </w:rPr>
        <w:t>. Фінансова та бюджетна звітність складається на підставі даних бухгалтерського обліку відповідно до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14004">
        <w:rPr>
          <w:rFonts w:ascii="Times New Roman" w:hAnsi="Times New Roman"/>
          <w:sz w:val="28"/>
          <w:szCs w:val="28"/>
          <w:lang w:eastAsia="ru-RU"/>
        </w:rPr>
        <w:t>58 Бюджетного кодексу України, Порядку подання фінансової звітності, затвердженого постановою Кабінету Міністрів України від 28.02.2000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14004">
        <w:rPr>
          <w:rFonts w:ascii="Times New Roman" w:hAnsi="Times New Roman"/>
          <w:sz w:val="28"/>
          <w:szCs w:val="28"/>
          <w:lang w:eastAsia="ru-RU"/>
        </w:rPr>
        <w:t xml:space="preserve">419, Порядку складання фінансової, бюджетної та іншої звітності розпорядниками та одержувачами бюджетних коштів, затвердженого наказом Міністерства фінансів України </w:t>
      </w:r>
      <w:r w:rsidRPr="00614004">
        <w:rPr>
          <w:rFonts w:ascii="Times New Roman" w:hAnsi="Times New Roman"/>
          <w:sz w:val="28"/>
          <w:szCs w:val="28"/>
          <w:lang w:eastAsia="ru-RU"/>
        </w:rPr>
        <w:br/>
        <w:t>від 24.01.2012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14004">
        <w:rPr>
          <w:rFonts w:ascii="Times New Roman" w:hAnsi="Times New Roman"/>
          <w:sz w:val="28"/>
          <w:szCs w:val="28"/>
          <w:lang w:eastAsia="ru-RU"/>
        </w:rPr>
        <w:t>44, зареєстрован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614004">
        <w:rPr>
          <w:rFonts w:ascii="Times New Roman" w:hAnsi="Times New Roman"/>
          <w:sz w:val="28"/>
          <w:szCs w:val="28"/>
          <w:lang w:eastAsia="ru-RU"/>
        </w:rPr>
        <w:t xml:space="preserve"> в Міністерстві юстиції України </w:t>
      </w:r>
      <w:r w:rsidRPr="00614004">
        <w:rPr>
          <w:rFonts w:ascii="Times New Roman" w:hAnsi="Times New Roman"/>
          <w:sz w:val="28"/>
          <w:szCs w:val="28"/>
          <w:lang w:eastAsia="ru-RU"/>
        </w:rPr>
        <w:br/>
        <w:t>09.02.2012 за № </w:t>
      </w:r>
      <w:r w:rsidRPr="0061400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196/20509</w:t>
      </w:r>
      <w:r w:rsidRPr="00614004">
        <w:rPr>
          <w:rFonts w:ascii="Times New Roman" w:hAnsi="Times New Roman"/>
          <w:sz w:val="28"/>
          <w:szCs w:val="28"/>
          <w:lang w:eastAsia="ru-RU"/>
        </w:rPr>
        <w:t xml:space="preserve">, для отримання інформації про фактичне становище, результати діяльності та рух грошових коштів. Звітність подається </w:t>
      </w:r>
      <w:r w:rsidRPr="00614004">
        <w:rPr>
          <w:rFonts w:ascii="Times New Roman" w:hAnsi="Times New Roman"/>
          <w:sz w:val="28"/>
          <w:szCs w:val="28"/>
          <w:lang w:val="ru-RU" w:eastAsia="ru-RU"/>
        </w:rPr>
        <w:br/>
      </w:r>
      <w:r w:rsidRPr="00614004">
        <w:rPr>
          <w:rFonts w:ascii="Times New Roman" w:hAnsi="Times New Roman"/>
          <w:sz w:val="28"/>
          <w:szCs w:val="28"/>
          <w:lang w:eastAsia="ru-RU"/>
        </w:rPr>
        <w:t>до органів Державної казначейської служби України у визначені терміни.</w:t>
      </w:r>
      <w:r w:rsidRPr="00614004">
        <w:rPr>
          <w:rFonts w:ascii="Times New Roman" w:hAnsi="Times New Roman"/>
          <w:sz w:val="28"/>
          <w:szCs w:val="28"/>
        </w:rPr>
        <w:t xml:space="preserve"> Подача звітів до інших компетентних органів здійснюється у порядку, за формами та в строки, визначені чинним законодавством.</w:t>
      </w:r>
    </w:p>
    <w:p w:rsidR="00F713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71304" w:rsidRPr="00614004" w:rsidRDefault="00F71304" w:rsidP="006E29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VIІ. Організація процедури здійснення державних закупівель</w:t>
      </w:r>
    </w:p>
    <w:p w:rsidR="00F71304" w:rsidRPr="002D600D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Закупівля товарів, робіт і послуг за рахунок бюджетних коштів здійснюється шляхом проведення процедур закупівель відповідно до вимог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акон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 «Про відкритість використання публічних коштів». Допорогові закупівлі  здійснюються шляхом укладення прямих договорів з урахуванням вимог та принципів, визначених вищезазначеними законами, без застосування електронної системи закупівель.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F71304" w:rsidRPr="00614004" w:rsidRDefault="00F71304" w:rsidP="00066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1304" w:rsidRPr="0093169D" w:rsidRDefault="00F71304" w:rsidP="00DE5E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ерівник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секретаріа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>ту</w:t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1400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А.В.Смілянець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br w:type="page"/>
      </w:r>
      <w:r w:rsidRPr="0093169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71304" w:rsidRDefault="00F71304" w:rsidP="007D0EEB">
      <w:pPr>
        <w:pStyle w:val="Heading3"/>
        <w:ind w:firstLine="5400"/>
        <w:rPr>
          <w:rFonts w:ascii="Times New Roman" w:hAnsi="Times New Roman" w:cs="Times New Roman"/>
        </w:rPr>
      </w:pPr>
      <w:r w:rsidRPr="0093169D">
        <w:rPr>
          <w:rFonts w:ascii="Times New Roman" w:hAnsi="Times New Roman" w:cs="Times New Roman"/>
        </w:rPr>
        <w:t xml:space="preserve">до Положення </w:t>
      </w:r>
    </w:p>
    <w:p w:rsidR="00F71304" w:rsidRPr="0093169D" w:rsidRDefault="00F71304" w:rsidP="007D0EEB">
      <w:pPr>
        <w:pStyle w:val="Heading3"/>
        <w:ind w:firstLine="5400"/>
        <w:rPr>
          <w:rFonts w:ascii="Times New Roman" w:hAnsi="Times New Roman" w:cs="Times New Roman"/>
        </w:rPr>
      </w:pPr>
      <w:r w:rsidRPr="0093169D">
        <w:rPr>
          <w:rFonts w:ascii="Times New Roman" w:hAnsi="Times New Roman" w:cs="Times New Roman"/>
        </w:rPr>
        <w:t>(пункт 3, розділ ІІ)</w:t>
      </w:r>
    </w:p>
    <w:p w:rsidR="00F71304" w:rsidRPr="0093169D" w:rsidRDefault="00F71304" w:rsidP="007D0EEB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71304" w:rsidRPr="008428F9" w:rsidRDefault="00F71304" w:rsidP="007D0EEB">
      <w:pP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28F9">
        <w:rPr>
          <w:rFonts w:ascii="Times New Roman" w:hAnsi="Times New Roman" w:cs="Times New Roman"/>
          <w:sz w:val="28"/>
          <w:szCs w:val="28"/>
        </w:rPr>
        <w:t>Схема документообігу фінансово</w:t>
      </w:r>
      <w:r>
        <w:rPr>
          <w:rFonts w:ascii="Times New Roman" w:hAnsi="Times New Roman" w:cs="Times New Roman"/>
          <w:sz w:val="28"/>
          <w:szCs w:val="28"/>
          <w:lang w:val="uk-UA"/>
        </w:rPr>
        <w:t>-господарського</w:t>
      </w:r>
    </w:p>
    <w:p w:rsidR="00F71304" w:rsidRPr="008428F9" w:rsidRDefault="00F71304" w:rsidP="007D0EEB">
      <w:pPr>
        <w:spacing w:after="0" w:line="24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виконавчого</w:t>
      </w:r>
      <w:r w:rsidRPr="0084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  <w:r w:rsidRPr="0084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304" w:rsidRPr="008428F9" w:rsidRDefault="00F71304" w:rsidP="007D0EE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8"/>
      </w:tblGrid>
      <w:tr w:rsidR="00F71304" w:rsidRPr="008428F9" w:rsidTr="007B57EA">
        <w:trPr>
          <w:trHeight w:val="900"/>
          <w:jc w:val="center"/>
        </w:trPr>
        <w:tc>
          <w:tcPr>
            <w:tcW w:w="8028" w:type="dxa"/>
          </w:tcPr>
          <w:p w:rsidR="00F71304" w:rsidRPr="008428F9" w:rsidRDefault="00F71304" w:rsidP="007B57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8F9">
              <w:rPr>
                <w:rFonts w:ascii="Times New Roman" w:hAnsi="Times New Roman" w:cs="Times New Roman"/>
                <w:sz w:val="28"/>
                <w:szCs w:val="28"/>
              </w:rPr>
              <w:t>Первинні документи (рахунки,  накладні, платіжні доручення,  касові ордери,  акти, авансові звіти)</w:t>
            </w:r>
          </w:p>
        </w:tc>
      </w:tr>
    </w:tbl>
    <w:p w:rsidR="00F71304" w:rsidRPr="008428F9" w:rsidRDefault="00F71304" w:rsidP="007D0EEB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pict>
          <v:line id="_x0000_s1026" style="position:absolute;left:0;text-align:left;z-index:251654144;mso-position-horizontal-relative:text;mso-position-vertical-relative:text" from="234pt,2.3pt" to="234pt,40.7pt">
            <v:stroke endarrow="block"/>
          </v:line>
        </w:pict>
      </w:r>
      <w:r>
        <w:rPr>
          <w:noProof/>
          <w:lang w:val="uk-UA" w:eastAsia="uk-UA"/>
        </w:rPr>
        <w:pict>
          <v:line id="_x0000_s1027" style="position:absolute;left:0;text-align:left;flip:x;z-index:251655168;mso-position-horizontal-relative:text;mso-position-vertical-relative:text" from="99pt,.4pt" to="135pt,37.25pt">
            <v:stroke endarrow="block"/>
          </v:line>
        </w:pict>
      </w:r>
      <w:r>
        <w:rPr>
          <w:noProof/>
          <w:lang w:val="uk-UA" w:eastAsia="uk-UA"/>
        </w:rPr>
        <w:pict>
          <v:line id="_x0000_s1028" style="position:absolute;left:0;text-align:left;z-index:251660288;mso-position-horizontal-relative:text;mso-position-vertical-relative:text" from="351pt,.4pt" to="383.4pt,37.1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0"/>
        <w:gridCol w:w="3311"/>
        <w:gridCol w:w="3067"/>
      </w:tblGrid>
      <w:tr w:rsidR="00F71304" w:rsidRPr="008428F9" w:rsidTr="007B57EA">
        <w:tc>
          <w:tcPr>
            <w:tcW w:w="3270" w:type="dxa"/>
          </w:tcPr>
          <w:p w:rsidR="00F71304" w:rsidRPr="008428F9" w:rsidRDefault="00F71304" w:rsidP="007B57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8F9">
              <w:rPr>
                <w:rFonts w:ascii="Times New Roman" w:hAnsi="Times New Roman" w:cs="Times New Roman"/>
                <w:sz w:val="28"/>
                <w:szCs w:val="28"/>
              </w:rPr>
              <w:t>Допоміжні та групувальні відомості</w:t>
            </w:r>
          </w:p>
        </w:tc>
        <w:tc>
          <w:tcPr>
            <w:tcW w:w="3311" w:type="dxa"/>
          </w:tcPr>
          <w:p w:rsidR="00F71304" w:rsidRPr="008428F9" w:rsidRDefault="00F71304" w:rsidP="007B57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8F9">
              <w:rPr>
                <w:rFonts w:ascii="Times New Roman" w:hAnsi="Times New Roman" w:cs="Times New Roman"/>
                <w:sz w:val="28"/>
                <w:szCs w:val="28"/>
              </w:rPr>
              <w:t>Меморіальні ордери  накопичувальні відомості</w:t>
            </w:r>
          </w:p>
        </w:tc>
        <w:tc>
          <w:tcPr>
            <w:tcW w:w="3067" w:type="dxa"/>
          </w:tcPr>
          <w:p w:rsidR="00F71304" w:rsidRPr="008428F9" w:rsidRDefault="00F71304" w:rsidP="007B57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8F9">
              <w:rPr>
                <w:rFonts w:ascii="Times New Roman" w:hAnsi="Times New Roman" w:cs="Times New Roman"/>
                <w:sz w:val="28"/>
                <w:szCs w:val="28"/>
              </w:rPr>
              <w:t>Картотека окремих аналітичних рахунків</w:t>
            </w:r>
          </w:p>
        </w:tc>
      </w:tr>
    </w:tbl>
    <w:p w:rsidR="00F71304" w:rsidRPr="008428F9" w:rsidRDefault="00F71304" w:rsidP="007D0EEB">
      <w:pPr>
        <w:tabs>
          <w:tab w:val="left" w:pos="7640"/>
        </w:tabs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pict>
          <v:line id="_x0000_s1029" style="position:absolute;left:0;text-align:left;z-index:251656192;mso-position-horizontal-relative:text;mso-position-vertical-relative:text" from="234pt,6pt" to="234.1pt,66.75pt">
            <v:stroke endarrow="block"/>
          </v:line>
        </w:pict>
      </w:r>
      <w:r>
        <w:rPr>
          <w:noProof/>
          <w:lang w:val="uk-UA" w:eastAsia="uk-UA"/>
        </w:rPr>
        <w:pict>
          <v:line id="_x0000_s1030" style="position:absolute;left:0;text-align:left;flip:x;z-index:251657216;mso-position-horizontal-relative:text;mso-position-vertical-relative:text" from="365.4pt,4.1pt" to="378pt,64.75pt">
            <v:stroke endarrow="block"/>
          </v:line>
        </w:pict>
      </w:r>
      <w:r>
        <w:rPr>
          <w:noProof/>
          <w:lang w:val="uk-UA" w:eastAsia="uk-UA"/>
        </w:rPr>
        <w:pict>
          <v:line id="_x0000_s1031" style="position:absolute;left:0;text-align:left;z-index:251659264;mso-position-horizontal-relative:text;mso-position-vertical-relative:text" from="90pt,4.1pt" to="117pt,67.1pt">
            <v:stroke endarrow="block"/>
          </v:line>
        </w:pict>
      </w:r>
      <w:r w:rsidRPr="008428F9">
        <w:rPr>
          <w:rFonts w:ascii="Times New Roman" w:hAnsi="Times New Roman" w:cs="Times New Roman"/>
          <w:sz w:val="28"/>
          <w:szCs w:val="28"/>
        </w:rPr>
        <w:t xml:space="preserve"> </w:t>
      </w:r>
      <w:r w:rsidRPr="008428F9">
        <w:rPr>
          <w:rFonts w:ascii="Times New Roman" w:hAnsi="Times New Roman" w:cs="Times New Roman"/>
          <w:sz w:val="28"/>
          <w:szCs w:val="28"/>
        </w:rPr>
        <w:tab/>
      </w:r>
    </w:p>
    <w:p w:rsidR="00F71304" w:rsidRPr="009C27D0" w:rsidRDefault="00F71304" w:rsidP="007D0E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page" w:tblpX="3214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2988"/>
      </w:tblGrid>
      <w:tr w:rsidR="00F71304" w:rsidRPr="008428F9" w:rsidTr="007B57EA">
        <w:tc>
          <w:tcPr>
            <w:tcW w:w="3780" w:type="dxa"/>
          </w:tcPr>
          <w:p w:rsidR="00F71304" w:rsidRPr="008428F9" w:rsidRDefault="00F71304" w:rsidP="007B57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F9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 w:rsidRPr="007122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„</w:t>
            </w:r>
            <w:r w:rsidRPr="008428F9">
              <w:rPr>
                <w:rFonts w:ascii="Times New Roman" w:hAnsi="Times New Roman" w:cs="Times New Roman"/>
                <w:sz w:val="28"/>
                <w:szCs w:val="28"/>
              </w:rPr>
              <w:t>Журнал-головна</w:t>
            </w:r>
            <w:r w:rsidRPr="00712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</w:p>
        </w:tc>
        <w:tc>
          <w:tcPr>
            <w:tcW w:w="2988" w:type="dxa"/>
          </w:tcPr>
          <w:p w:rsidR="00F71304" w:rsidRPr="008428F9" w:rsidRDefault="00F71304" w:rsidP="007B57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8F9">
              <w:rPr>
                <w:rFonts w:ascii="Times New Roman" w:hAnsi="Times New Roman" w:cs="Times New Roman"/>
                <w:sz w:val="28"/>
                <w:szCs w:val="28"/>
              </w:rPr>
              <w:t>Оборотні відомості за аналітичними рахунками</w:t>
            </w:r>
          </w:p>
        </w:tc>
      </w:tr>
    </w:tbl>
    <w:p w:rsidR="00F71304" w:rsidRDefault="00F71304" w:rsidP="007D0EEB">
      <w:pPr>
        <w:spacing w:before="100" w:beforeAutospacing="1" w:after="100" w:afterAutospacing="1" w:line="240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8428F9" w:rsidRDefault="00F71304" w:rsidP="007D0EEB">
      <w:pPr>
        <w:spacing w:before="100" w:beforeAutospacing="1" w:after="100" w:afterAutospacing="1" w:line="240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pict>
          <v:line id="_x0000_s1032" style="position:absolute;left:0;text-align:left;flip:x;z-index:251661312" from="234pt,16.8pt" to="234pt,61.8pt">
            <v:stroke endarrow="block"/>
          </v:line>
        </w:pict>
      </w:r>
    </w:p>
    <w:tbl>
      <w:tblPr>
        <w:tblpPr w:leftFromText="180" w:rightFromText="180" w:vertAnchor="text" w:horzAnchor="margin" w:tblpXSpec="center" w:tblpY="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F71304" w:rsidRPr="008428F9" w:rsidTr="007B57EA">
        <w:trPr>
          <w:trHeight w:val="465"/>
        </w:trPr>
        <w:tc>
          <w:tcPr>
            <w:tcW w:w="3060" w:type="dxa"/>
          </w:tcPr>
          <w:p w:rsidR="00F71304" w:rsidRPr="008428F9" w:rsidRDefault="00F71304" w:rsidP="007B57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8F9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</w:tr>
    </w:tbl>
    <w:p w:rsidR="00F71304" w:rsidRDefault="00F71304" w:rsidP="007D0EEB">
      <w:pPr>
        <w:spacing w:before="100" w:beforeAutospacing="1" w:after="100" w:afterAutospacing="1" w:line="240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8428F9" w:rsidRDefault="00F71304" w:rsidP="007D0EEB">
      <w:pPr>
        <w:spacing w:before="100" w:beforeAutospacing="1" w:after="100" w:afterAutospacing="1" w:line="240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F71304" w:rsidRPr="008428F9" w:rsidRDefault="00F71304" w:rsidP="007D0EEB">
      <w:pPr>
        <w:spacing w:before="100" w:beforeAutospacing="1" w:after="100" w:afterAutospacing="1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pict>
          <v:line id="_x0000_s1033" style="position:absolute;left:0;text-align:left;z-index:251658240" from="234pt,.95pt" to="234pt,36.95pt">
            <v:stroke endarrow="block"/>
          </v:line>
        </w:pic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F71304" w:rsidRPr="008428F9" w:rsidTr="007B57EA">
        <w:tc>
          <w:tcPr>
            <w:tcW w:w="3060" w:type="dxa"/>
          </w:tcPr>
          <w:p w:rsidR="00F71304" w:rsidRPr="007A7E8D" w:rsidRDefault="00F71304" w:rsidP="007B57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28F9">
              <w:rPr>
                <w:rFonts w:ascii="Times New Roman" w:hAnsi="Times New Roman" w:cs="Times New Roman"/>
                <w:sz w:val="28"/>
                <w:szCs w:val="28"/>
              </w:rPr>
              <w:t>Бухгалтерська звітність</w:t>
            </w:r>
          </w:p>
        </w:tc>
      </w:tr>
    </w:tbl>
    <w:p w:rsidR="00F71304" w:rsidRPr="008428F9" w:rsidRDefault="00F71304" w:rsidP="007D0EEB">
      <w:pPr>
        <w:spacing w:before="100" w:beforeAutospacing="1" w:after="100" w:afterAutospacing="1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F71304" w:rsidRPr="008428F9" w:rsidRDefault="00F71304" w:rsidP="007D0EEB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71304" w:rsidRPr="008428F9" w:rsidRDefault="00F71304" w:rsidP="007D0EEB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71304" w:rsidRPr="006E6B31" w:rsidRDefault="00F71304" w:rsidP="007D0EE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br w:type="page"/>
      </w:r>
      <w:r w:rsidRPr="006E6B31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71304" w:rsidRDefault="00F71304" w:rsidP="007D0EE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Положення </w:t>
      </w:r>
    </w:p>
    <w:p w:rsidR="00F71304" w:rsidRPr="00493017" w:rsidRDefault="00F71304" w:rsidP="007D0EEB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(пункт 5, розділ ІІ)</w:t>
      </w:r>
    </w:p>
    <w:p w:rsidR="00F71304" w:rsidRDefault="00F71304" w:rsidP="007D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6B31">
        <w:rPr>
          <w:rFonts w:ascii="Times New Roman" w:hAnsi="Times New Roman" w:cs="Times New Roman"/>
          <w:sz w:val="28"/>
          <w:szCs w:val="28"/>
          <w:lang w:val="uk-UA"/>
        </w:rPr>
        <w:t xml:space="preserve">Робочий план рахунків </w:t>
      </w:r>
    </w:p>
    <w:p w:rsidR="00F71304" w:rsidRPr="006E6B31" w:rsidRDefault="00F71304" w:rsidP="007D0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апарату районної ради</w:t>
      </w:r>
    </w:p>
    <w:p w:rsidR="00F71304" w:rsidRPr="006E6B31" w:rsidRDefault="00F71304" w:rsidP="00E74BCE">
      <w:pPr>
        <w:shd w:val="clear" w:color="auto" w:fill="FFFFFF"/>
        <w:spacing w:after="0" w:line="240" w:lineRule="auto"/>
        <w:ind w:left="448" w:right="448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0" w:name="n23"/>
      <w:bookmarkEnd w:id="0"/>
      <w:r w:rsidRPr="006E6B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Розділ I. Балансові рахунки</w:t>
      </w:r>
    </w:p>
    <w:tbl>
      <w:tblPr>
        <w:tblW w:w="5002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4"/>
        <w:gridCol w:w="3378"/>
        <w:gridCol w:w="674"/>
        <w:gridCol w:w="4926"/>
      </w:tblGrid>
      <w:tr w:rsidR="00F71304" w:rsidRPr="006E6B31" w:rsidTr="007B57EA">
        <w:trPr>
          <w:trHeight w:val="20"/>
        </w:trPr>
        <w:tc>
          <w:tcPr>
            <w:tcW w:w="2099" w:type="pct"/>
            <w:gridSpan w:val="2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" w:name="n24"/>
            <w:bookmarkEnd w:id="1"/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Синтетичні рахунки</w:t>
            </w:r>
          </w:p>
        </w:tc>
        <w:tc>
          <w:tcPr>
            <w:tcW w:w="2901" w:type="pct"/>
            <w:gridSpan w:val="2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Субрахунки 1-го рівня</w:t>
            </w:r>
          </w:p>
        </w:tc>
      </w:tr>
      <w:tr w:rsidR="00F71304" w:rsidRPr="006E6B31" w:rsidTr="007B57EA">
        <w:trPr>
          <w:trHeight w:val="20"/>
        </w:trPr>
        <w:tc>
          <w:tcPr>
            <w:tcW w:w="349" w:type="pct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1750" w:type="pct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349" w:type="pct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2552" w:type="pct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</w:t>
            </w:r>
          </w:p>
        </w:tc>
      </w:tr>
      <w:tr w:rsidR="00F71304" w:rsidRPr="006E6B31" w:rsidTr="007B57EA">
        <w:trPr>
          <w:trHeight w:val="20"/>
        </w:trPr>
        <w:tc>
          <w:tcPr>
            <w:tcW w:w="349" w:type="pct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50" w:type="pct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49" w:type="pct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552" w:type="pct"/>
          </w:tcPr>
          <w:p w:rsidR="00F71304" w:rsidRPr="006E6B31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E6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F71304" w:rsidRPr="00926A47" w:rsidTr="007B57EA">
        <w:trPr>
          <w:trHeight w:val="20"/>
        </w:trPr>
        <w:tc>
          <w:tcPr>
            <w:tcW w:w="5000" w:type="pct"/>
            <w:gridSpan w:val="4"/>
          </w:tcPr>
          <w:p w:rsidR="00F71304" w:rsidRPr="00926A47" w:rsidRDefault="00F71304" w:rsidP="007B57EA">
            <w:pPr>
              <w:spacing w:after="0" w:line="240" w:lineRule="auto"/>
              <w:ind w:right="11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Клас 1. Не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фінансові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активи</w:t>
            </w:r>
          </w:p>
        </w:tc>
      </w:tr>
      <w:tr w:rsidR="00F71304" w:rsidRPr="00DA3C89" w:rsidTr="007B57EA">
        <w:trPr>
          <w:trHeight w:val="20"/>
        </w:trPr>
        <w:tc>
          <w:tcPr>
            <w:tcW w:w="0" w:type="auto"/>
          </w:tcPr>
          <w:p w:rsidR="00F71304" w:rsidRPr="00926A47" w:rsidRDefault="00F71304" w:rsidP="007B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Основні засоби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Основні засоби та інвестиційна нерухомість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необоротні матеріальні активи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необоротні матеріальні активи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0" w:type="auto"/>
          </w:tcPr>
          <w:p w:rsidR="00F71304" w:rsidRPr="00926A47" w:rsidRDefault="00F71304" w:rsidP="007B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0" w:type="auto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Нематеріальні активи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Нематеріальні активи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Знос (амортизація) необоротних активів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Знос (амортизація) необоротних активів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Інші нефінансові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активи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Інші нефінансові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активи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5000" w:type="pct"/>
            <w:gridSpan w:val="4"/>
          </w:tcPr>
          <w:p w:rsidR="00F71304" w:rsidRPr="00926A47" w:rsidRDefault="00F71304" w:rsidP="007B57EA">
            <w:pPr>
              <w:spacing w:after="0" w:line="240" w:lineRule="auto"/>
              <w:ind w:right="115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Клас 2. </w:t>
            </w:r>
            <w:r w:rsidRPr="005070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Фінансові активи</w:t>
            </w:r>
          </w:p>
        </w:tc>
      </w:tr>
      <w:tr w:rsidR="00F71304" w:rsidRPr="00926A47" w:rsidTr="007B57EA">
        <w:trPr>
          <w:trHeight w:val="20"/>
        </w:trPr>
        <w:tc>
          <w:tcPr>
            <w:tcW w:w="0" w:type="auto"/>
            <w:vMerge w:val="restart"/>
          </w:tcPr>
          <w:p w:rsidR="00F71304" w:rsidRPr="00926A47" w:rsidRDefault="00F71304" w:rsidP="007B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vMerge w:val="restar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Поточна дебіторська заборгованість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Поточна дебіторська заборгованість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F71304" w:rsidRPr="00926A47" w:rsidTr="007B57EA">
        <w:trPr>
          <w:trHeight w:val="20"/>
        </w:trPr>
        <w:tc>
          <w:tcPr>
            <w:tcW w:w="0" w:type="auto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Pr="00DA3C89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213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Поточна дебіторська заборгованість державного бюджету </w:t>
            </w:r>
          </w:p>
        </w:tc>
      </w:tr>
      <w:tr w:rsidR="00F71304" w:rsidRPr="00926A47" w:rsidTr="007B57EA">
        <w:trPr>
          <w:trHeight w:val="20"/>
        </w:trPr>
        <w:tc>
          <w:tcPr>
            <w:tcW w:w="0" w:type="auto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Pr="00DA3C89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214</w:t>
            </w:r>
          </w:p>
        </w:tc>
        <w:tc>
          <w:tcPr>
            <w:tcW w:w="2552" w:type="pct"/>
          </w:tcPr>
          <w:p w:rsidR="00F71304" w:rsidRPr="00DA3C89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Поточна дебіторська заборгованість місцевих бюджетів</w:t>
            </w:r>
          </w:p>
        </w:tc>
      </w:tr>
      <w:tr w:rsidR="00F71304" w:rsidRPr="004A74A9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Готівкові кошти та їх еквіваленти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Готівкові кошти та їх еквіваленти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1750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Грошові кошти на рахунках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Грошові кошти на рахунках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0" w:type="pct"/>
            <w:vMerge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233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ошти на рахунках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державного бюджету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0" w:type="pct"/>
            <w:vMerge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234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ошти на рахунках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місцевих бюджетів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Витрати майбутніх періодів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291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Витрати майбутніх періодів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</w:tbl>
    <w:p w:rsidR="00F71304" w:rsidRDefault="00F71304" w:rsidP="007D0EEB">
      <w:pPr>
        <w:shd w:val="clear" w:color="auto" w:fill="FFFFFF"/>
        <w:ind w:right="450"/>
        <w:jc w:val="right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  <w:sectPr w:rsidR="00F71304" w:rsidSect="00456D1A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71304" w:rsidRDefault="00F71304" w:rsidP="007D0EEB">
      <w:pPr>
        <w:shd w:val="clear" w:color="auto" w:fill="FFFFFF"/>
        <w:tabs>
          <w:tab w:val="left" w:pos="4320"/>
          <w:tab w:val="center" w:pos="4594"/>
          <w:tab w:val="left" w:pos="5850"/>
        </w:tabs>
        <w:ind w:right="45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Продовження додатка 2</w:t>
      </w:r>
    </w:p>
    <w:tbl>
      <w:tblPr>
        <w:tblW w:w="5002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4"/>
        <w:gridCol w:w="3378"/>
        <w:gridCol w:w="674"/>
        <w:gridCol w:w="4926"/>
      </w:tblGrid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F71304" w:rsidRPr="00926A47" w:rsidTr="007B57EA">
        <w:trPr>
          <w:trHeight w:val="20"/>
        </w:trPr>
        <w:tc>
          <w:tcPr>
            <w:tcW w:w="5000" w:type="pct"/>
            <w:gridSpan w:val="4"/>
          </w:tcPr>
          <w:p w:rsidR="00F71304" w:rsidRPr="00926A47" w:rsidRDefault="00F71304" w:rsidP="007B57EA">
            <w:pPr>
              <w:spacing w:after="0" w:line="240" w:lineRule="auto"/>
              <w:ind w:left="223" w:right="11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Клас 3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бюджетів та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1750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бюджету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323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державного бюджету</w:t>
            </w:r>
          </w:p>
        </w:tc>
      </w:tr>
      <w:tr w:rsidR="00F71304" w:rsidTr="007B57EA">
        <w:trPr>
          <w:trHeight w:val="20"/>
        </w:trPr>
        <w:tc>
          <w:tcPr>
            <w:tcW w:w="349" w:type="pct"/>
            <w:vMerge/>
          </w:tcPr>
          <w:p w:rsidR="00F71304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50" w:type="pct"/>
            <w:vMerge/>
          </w:tcPr>
          <w:p w:rsidR="00F71304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324</w:t>
            </w:r>
          </w:p>
        </w:tc>
        <w:tc>
          <w:tcPr>
            <w:tcW w:w="2552" w:type="pct"/>
          </w:tcPr>
          <w:p w:rsidR="00F71304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місцевих бюджетів</w:t>
            </w:r>
          </w:p>
        </w:tc>
      </w:tr>
      <w:tr w:rsidR="00F71304" w:rsidRPr="00DA3C89" w:rsidTr="007B57EA">
        <w:trPr>
          <w:trHeight w:val="20"/>
        </w:trPr>
        <w:tc>
          <w:tcPr>
            <w:tcW w:w="349" w:type="pct"/>
            <w:vMerge w:val="restart"/>
          </w:tcPr>
          <w:p w:rsidR="00F71304" w:rsidRPr="00DA3C89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1750" w:type="pct"/>
            <w:vMerge w:val="restart"/>
          </w:tcPr>
          <w:p w:rsidR="00F71304" w:rsidRPr="00DA3C89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Кошти бюджету,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що підлягають розподілу</w:t>
            </w:r>
          </w:p>
        </w:tc>
        <w:tc>
          <w:tcPr>
            <w:tcW w:w="349" w:type="pct"/>
          </w:tcPr>
          <w:p w:rsidR="00F71304" w:rsidRPr="00DA3C89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333</w:t>
            </w:r>
          </w:p>
        </w:tc>
        <w:tc>
          <w:tcPr>
            <w:tcW w:w="2552" w:type="pct"/>
          </w:tcPr>
          <w:p w:rsidR="00F71304" w:rsidRPr="00DA3C89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Кошти державного бюджету,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які підлягають розподілу</w:t>
            </w:r>
          </w:p>
        </w:tc>
      </w:tr>
      <w:tr w:rsidR="00F71304" w:rsidRPr="004A74A9" w:rsidTr="007B57EA">
        <w:trPr>
          <w:trHeight w:val="20"/>
        </w:trPr>
        <w:tc>
          <w:tcPr>
            <w:tcW w:w="349" w:type="pct"/>
            <w:vMerge/>
          </w:tcPr>
          <w:p w:rsidR="00F71304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0" w:type="pct"/>
            <w:vMerge/>
          </w:tcPr>
          <w:p w:rsidR="00F71304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334</w:t>
            </w:r>
          </w:p>
        </w:tc>
        <w:tc>
          <w:tcPr>
            <w:tcW w:w="2552" w:type="pct"/>
          </w:tcPr>
          <w:p w:rsidR="00F71304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Кошти місцевих бюджетів,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які підлягають розподілу</w:t>
            </w:r>
          </w:p>
        </w:tc>
      </w:tr>
      <w:tr w:rsidR="00F71304" w:rsidRPr="00926A47" w:rsidTr="007B57EA">
        <w:trPr>
          <w:trHeight w:val="20"/>
        </w:trPr>
        <w:tc>
          <w:tcPr>
            <w:tcW w:w="5000" w:type="pct"/>
            <w:gridSpan w:val="4"/>
          </w:tcPr>
          <w:p w:rsidR="00F71304" w:rsidRPr="00926A47" w:rsidRDefault="00F71304" w:rsidP="007B57EA">
            <w:pPr>
              <w:spacing w:after="0" w:line="240" w:lineRule="auto"/>
              <w:ind w:left="223" w:right="11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A3C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Клас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Pr="00DA3C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Капітал та фінансовий результат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1750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Фінансовий результат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551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Фінансов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ий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результат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0" w:type="pct"/>
            <w:vMerge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553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Фінансовий результат виконання державного бюджету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0" w:type="pct"/>
            <w:vMerge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554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Фінансовий результат виконання місцевих бюджетів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5000" w:type="pct"/>
            <w:gridSpan w:val="4"/>
          </w:tcPr>
          <w:p w:rsidR="00F71304" w:rsidRPr="00926A47" w:rsidRDefault="00F71304" w:rsidP="007B57EA">
            <w:pPr>
              <w:spacing w:after="0" w:line="240" w:lineRule="auto"/>
              <w:ind w:left="223" w:right="11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Клас 6. Зобов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язання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Розрахунки за товари, роботи, послуги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621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Розрахунки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 товари, роботи, послуги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Розрахунки з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 податками і зборами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631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Розрахунки за податками і зборами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4A74A9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Інші поточні зобов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язання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641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Інші поточні зобов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язання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Розрахунки з оплати праці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651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Розрахунки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заробітної плати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5000" w:type="pct"/>
            <w:gridSpan w:val="4"/>
          </w:tcPr>
          <w:p w:rsidR="00F71304" w:rsidRPr="00926A47" w:rsidRDefault="00F71304" w:rsidP="007B57EA">
            <w:pPr>
              <w:spacing w:after="0" w:line="240" w:lineRule="auto"/>
              <w:ind w:left="223" w:right="11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Клас 7. Доходи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Доходи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 бюджетними асигнуваннями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701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Бюджетні а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сигнування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4A74A9" w:rsidTr="007B57EA">
        <w:trPr>
          <w:trHeight w:val="20"/>
        </w:trPr>
        <w:tc>
          <w:tcPr>
            <w:tcW w:w="349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71</w:t>
            </w:r>
          </w:p>
        </w:tc>
        <w:tc>
          <w:tcPr>
            <w:tcW w:w="1750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Доходи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реалізації продукції (робіт, послуг)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711</w:t>
            </w:r>
          </w:p>
        </w:tc>
        <w:tc>
          <w:tcPr>
            <w:tcW w:w="2552" w:type="pct"/>
          </w:tcPr>
          <w:p w:rsidR="00F71304" w:rsidRPr="003745CC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745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Доходи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реалізації продукції (робіт, послуг)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/>
          </w:tcPr>
          <w:p w:rsidR="00F71304" w:rsidRPr="003745CC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50" w:type="pct"/>
            <w:vMerge/>
          </w:tcPr>
          <w:p w:rsidR="00F71304" w:rsidRPr="003745CC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713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Доходи державного бюджету від наданих послуг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50" w:type="pct"/>
            <w:vMerge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714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Доходи місцевого бюджету від наданих послуг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1750" w:type="pc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Доходи від продажу активів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721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Доходи від продажу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розпорядників бюджетних коштів</w:t>
            </w:r>
          </w:p>
        </w:tc>
      </w:tr>
      <w:tr w:rsidR="00F71304" w:rsidRPr="00926A47" w:rsidTr="007B57EA">
        <w:trPr>
          <w:trHeight w:val="20"/>
        </w:trPr>
        <w:tc>
          <w:tcPr>
            <w:tcW w:w="5000" w:type="pct"/>
            <w:gridSpan w:val="4"/>
          </w:tcPr>
          <w:p w:rsidR="00F71304" w:rsidRPr="00926A47" w:rsidRDefault="00F71304" w:rsidP="007B57EA">
            <w:pPr>
              <w:spacing w:after="0" w:line="240" w:lineRule="auto"/>
              <w:ind w:left="223" w:right="115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Клас 8. Витрати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1750" w:type="pct"/>
            <w:vMerge w:val="restart"/>
          </w:tcPr>
          <w:p w:rsidR="00F71304" w:rsidRPr="00926A47" w:rsidRDefault="00F71304" w:rsidP="007B57EA">
            <w:pPr>
              <w:spacing w:after="0" w:line="240" w:lineRule="auto"/>
              <w:ind w:left="223" w:right="2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Витрати на виконання бюджетних програм</w:t>
            </w: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Витрати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розпорядників бюджетних коштів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 виконання бюджетних програм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50" w:type="pct"/>
            <w:vMerge/>
          </w:tcPr>
          <w:p w:rsidR="00F71304" w:rsidRPr="00926A47" w:rsidRDefault="00F71304" w:rsidP="007B57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49" w:type="pct"/>
          </w:tcPr>
          <w:p w:rsidR="00F71304" w:rsidRPr="003745CC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803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Витрати державного бюджету</w:t>
            </w:r>
          </w:p>
        </w:tc>
      </w:tr>
      <w:tr w:rsidR="00F71304" w:rsidRPr="00926A47" w:rsidTr="007B57EA">
        <w:trPr>
          <w:trHeight w:val="20"/>
        </w:trPr>
        <w:tc>
          <w:tcPr>
            <w:tcW w:w="349" w:type="pct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50" w:type="pct"/>
            <w:vMerge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9" w:type="pct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80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552" w:type="pct"/>
          </w:tcPr>
          <w:p w:rsidR="00F71304" w:rsidRPr="00926A47" w:rsidRDefault="00F71304" w:rsidP="007B57EA">
            <w:pPr>
              <w:spacing w:after="0" w:line="240" w:lineRule="auto"/>
              <w:ind w:left="131" w:right="11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Витрати місцевого бюджету</w:t>
            </w:r>
          </w:p>
        </w:tc>
      </w:tr>
    </w:tbl>
    <w:p w:rsidR="00F71304" w:rsidRDefault="00F71304" w:rsidP="007D0EEB">
      <w:pPr>
        <w:shd w:val="clear" w:color="auto" w:fill="FFFFFF"/>
        <w:ind w:left="450" w:right="45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 w:type="page"/>
        <w:t>Продовження додатка 2</w:t>
      </w:r>
    </w:p>
    <w:p w:rsidR="00F71304" w:rsidRPr="00926A47" w:rsidRDefault="00F71304" w:rsidP="007D0EEB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926A4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Розділ II. Позабалансові рахунки</w:t>
      </w:r>
    </w:p>
    <w:p w:rsidR="00F71304" w:rsidRPr="00926A47" w:rsidRDefault="00F71304" w:rsidP="007D0EE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" w:name="n26"/>
      <w:bookmarkEnd w:id="2"/>
      <w:r w:rsidRPr="00926A4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Клас 0. Позабалансові рахунки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96"/>
      </w:tblGrid>
      <w:tr w:rsidR="00F71304" w:rsidRPr="00926A47" w:rsidTr="007B57EA">
        <w:trPr>
          <w:trHeight w:val="20"/>
        </w:trPr>
        <w:tc>
          <w:tcPr>
            <w:tcW w:w="648" w:type="dxa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01</w:t>
            </w:r>
          </w:p>
        </w:tc>
        <w:tc>
          <w:tcPr>
            <w:tcW w:w="9096" w:type="dxa"/>
          </w:tcPr>
          <w:p w:rsidR="00F71304" w:rsidRPr="00926A47" w:rsidRDefault="00F71304" w:rsidP="007B57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Орендовані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основні засоби та 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не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матеріальн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 активи</w:t>
            </w:r>
          </w:p>
        </w:tc>
      </w:tr>
      <w:tr w:rsidR="00F71304" w:rsidRPr="00926A47" w:rsidTr="007B57EA">
        <w:trPr>
          <w:trHeight w:val="20"/>
        </w:trPr>
        <w:tc>
          <w:tcPr>
            <w:tcW w:w="648" w:type="dxa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02</w:t>
            </w:r>
          </w:p>
        </w:tc>
        <w:tc>
          <w:tcPr>
            <w:tcW w:w="9096" w:type="dxa"/>
          </w:tcPr>
          <w:p w:rsidR="00F71304" w:rsidRPr="00926A47" w:rsidRDefault="00F71304" w:rsidP="007B57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Активи на відповідальному зберіганні</w:t>
            </w:r>
          </w:p>
        </w:tc>
      </w:tr>
      <w:tr w:rsidR="00F71304" w:rsidRPr="00926A47" w:rsidTr="007B57EA">
        <w:trPr>
          <w:trHeight w:val="20"/>
        </w:trPr>
        <w:tc>
          <w:tcPr>
            <w:tcW w:w="648" w:type="dxa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9096" w:type="dxa"/>
          </w:tcPr>
          <w:p w:rsidR="00F71304" w:rsidRPr="00926A47" w:rsidRDefault="00F71304" w:rsidP="007B57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Непередбачені активи </w:t>
            </w:r>
          </w:p>
        </w:tc>
      </w:tr>
      <w:tr w:rsidR="00F71304" w:rsidRPr="00926A47" w:rsidTr="007B57EA">
        <w:trPr>
          <w:trHeight w:val="20"/>
        </w:trPr>
        <w:tc>
          <w:tcPr>
            <w:tcW w:w="648" w:type="dxa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05</w:t>
            </w:r>
          </w:p>
        </w:tc>
        <w:tc>
          <w:tcPr>
            <w:tcW w:w="9096" w:type="dxa"/>
          </w:tcPr>
          <w:p w:rsidR="00F71304" w:rsidRPr="00926A47" w:rsidRDefault="00F71304" w:rsidP="007B57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Непередбачені зобов</w:t>
            </w:r>
            <w:r w:rsidRPr="00926A4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язання, гарантії та забезпечення надані</w:t>
            </w:r>
          </w:p>
        </w:tc>
      </w:tr>
      <w:tr w:rsidR="00F71304" w:rsidRPr="00926A47" w:rsidTr="007B57EA">
        <w:trPr>
          <w:trHeight w:val="20"/>
        </w:trPr>
        <w:tc>
          <w:tcPr>
            <w:tcW w:w="648" w:type="dxa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07</w:t>
            </w:r>
          </w:p>
        </w:tc>
        <w:tc>
          <w:tcPr>
            <w:tcW w:w="9096" w:type="dxa"/>
          </w:tcPr>
          <w:p w:rsidR="00F71304" w:rsidRPr="00926A47" w:rsidRDefault="00F71304" w:rsidP="007B57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Списані активи</w:t>
            </w:r>
          </w:p>
        </w:tc>
      </w:tr>
      <w:tr w:rsidR="00F71304" w:rsidRPr="00926A47" w:rsidTr="007B57EA">
        <w:trPr>
          <w:trHeight w:val="20"/>
        </w:trPr>
        <w:tc>
          <w:tcPr>
            <w:tcW w:w="648" w:type="dxa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08</w:t>
            </w:r>
          </w:p>
        </w:tc>
        <w:tc>
          <w:tcPr>
            <w:tcW w:w="9096" w:type="dxa"/>
          </w:tcPr>
          <w:p w:rsidR="00F71304" w:rsidRPr="00926A47" w:rsidRDefault="00F71304" w:rsidP="007B57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Бланки документів суворої звітності</w:t>
            </w:r>
          </w:p>
        </w:tc>
      </w:tr>
      <w:tr w:rsidR="00F71304" w:rsidRPr="00926A47" w:rsidTr="007B57EA">
        <w:trPr>
          <w:trHeight w:val="20"/>
        </w:trPr>
        <w:tc>
          <w:tcPr>
            <w:tcW w:w="648" w:type="dxa"/>
          </w:tcPr>
          <w:p w:rsidR="00F71304" w:rsidRPr="00926A47" w:rsidRDefault="00F71304" w:rsidP="007B57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09</w:t>
            </w:r>
          </w:p>
        </w:tc>
        <w:tc>
          <w:tcPr>
            <w:tcW w:w="9096" w:type="dxa"/>
          </w:tcPr>
          <w:p w:rsidR="00F71304" w:rsidRPr="00926A47" w:rsidRDefault="00F71304" w:rsidP="007B57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26A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Передані (видані) активи відповідно до законодавства</w:t>
            </w:r>
          </w:p>
        </w:tc>
      </w:tr>
    </w:tbl>
    <w:p w:rsidR="00F71304" w:rsidRDefault="00F71304" w:rsidP="007D0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71304" w:rsidRDefault="00F71304" w:rsidP="007D0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71304" w:rsidRDefault="00F71304" w:rsidP="007D0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71304" w:rsidRPr="00A94D9D" w:rsidRDefault="00F71304" w:rsidP="007D0E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71304" w:rsidRPr="00140961" w:rsidRDefault="00F71304" w:rsidP="007D0EEB">
      <w:pPr>
        <w:rPr>
          <w:lang w:val="uk-UA"/>
        </w:rPr>
      </w:pPr>
      <w:bookmarkStart w:id="3" w:name="n27"/>
      <w:bookmarkEnd w:id="3"/>
    </w:p>
    <w:p w:rsidR="00F71304" w:rsidRPr="00614004" w:rsidRDefault="00F71304" w:rsidP="00D476AB">
      <w:pPr>
        <w:spacing w:after="0" w:line="240" w:lineRule="auto"/>
        <w:jc w:val="both"/>
        <w:rPr>
          <w:lang w:val="uk-UA" w:eastAsia="ru-RU"/>
        </w:rPr>
      </w:pPr>
    </w:p>
    <w:sectPr w:rsidR="00F71304" w:rsidRPr="00614004" w:rsidSect="006140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04" w:rsidRDefault="00F71304">
      <w:r>
        <w:separator/>
      </w:r>
    </w:p>
  </w:endnote>
  <w:endnote w:type="continuationSeparator" w:id="0">
    <w:p w:rsidR="00F71304" w:rsidRDefault="00F71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04" w:rsidRDefault="00F71304">
      <w:r>
        <w:separator/>
      </w:r>
    </w:p>
  </w:footnote>
  <w:footnote w:type="continuationSeparator" w:id="0">
    <w:p w:rsidR="00F71304" w:rsidRDefault="00F71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04" w:rsidRDefault="00F71304" w:rsidP="009C50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1304" w:rsidRDefault="00F713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04" w:rsidRPr="009C50D2" w:rsidRDefault="00F71304" w:rsidP="009C50D2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</w:p>
  <w:p w:rsidR="00F71304" w:rsidRDefault="00F713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04" w:rsidRDefault="00F71304" w:rsidP="0033016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F71304" w:rsidRDefault="00F713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A17"/>
    <w:rsid w:val="00013E6D"/>
    <w:rsid w:val="000263A0"/>
    <w:rsid w:val="00034961"/>
    <w:rsid w:val="000353F9"/>
    <w:rsid w:val="00066ABE"/>
    <w:rsid w:val="00066C4A"/>
    <w:rsid w:val="00077104"/>
    <w:rsid w:val="00086634"/>
    <w:rsid w:val="000C71B6"/>
    <w:rsid w:val="000E76C9"/>
    <w:rsid w:val="001351A3"/>
    <w:rsid w:val="00140961"/>
    <w:rsid w:val="001607AA"/>
    <w:rsid w:val="001771BB"/>
    <w:rsid w:val="001841F6"/>
    <w:rsid w:val="001B51E8"/>
    <w:rsid w:val="001B5B57"/>
    <w:rsid w:val="001B6C32"/>
    <w:rsid w:val="001C168E"/>
    <w:rsid w:val="001E1C5F"/>
    <w:rsid w:val="002102BE"/>
    <w:rsid w:val="0021327D"/>
    <w:rsid w:val="00247F2B"/>
    <w:rsid w:val="00266520"/>
    <w:rsid w:val="00271782"/>
    <w:rsid w:val="00283700"/>
    <w:rsid w:val="002A786A"/>
    <w:rsid w:val="002B541B"/>
    <w:rsid w:val="002C4F96"/>
    <w:rsid w:val="002D102B"/>
    <w:rsid w:val="002D600D"/>
    <w:rsid w:val="002F4A47"/>
    <w:rsid w:val="002F6C1C"/>
    <w:rsid w:val="00300FBB"/>
    <w:rsid w:val="003067A6"/>
    <w:rsid w:val="0033016A"/>
    <w:rsid w:val="0033395C"/>
    <w:rsid w:val="003454F7"/>
    <w:rsid w:val="003576DB"/>
    <w:rsid w:val="0036477E"/>
    <w:rsid w:val="003745CC"/>
    <w:rsid w:val="00374D2A"/>
    <w:rsid w:val="00390C2E"/>
    <w:rsid w:val="003A1ED3"/>
    <w:rsid w:val="00405BC7"/>
    <w:rsid w:val="00415A3E"/>
    <w:rsid w:val="00422CB9"/>
    <w:rsid w:val="0043391B"/>
    <w:rsid w:val="0043550F"/>
    <w:rsid w:val="00456D1A"/>
    <w:rsid w:val="00463567"/>
    <w:rsid w:val="00467690"/>
    <w:rsid w:val="0047059E"/>
    <w:rsid w:val="0047071C"/>
    <w:rsid w:val="00493017"/>
    <w:rsid w:val="004A5954"/>
    <w:rsid w:val="004A74A9"/>
    <w:rsid w:val="004B277A"/>
    <w:rsid w:val="004B4E80"/>
    <w:rsid w:val="004B7279"/>
    <w:rsid w:val="004D2D8D"/>
    <w:rsid w:val="004D464B"/>
    <w:rsid w:val="004D5839"/>
    <w:rsid w:val="004D5B48"/>
    <w:rsid w:val="004E2308"/>
    <w:rsid w:val="004E570A"/>
    <w:rsid w:val="00507067"/>
    <w:rsid w:val="00534F62"/>
    <w:rsid w:val="00557D50"/>
    <w:rsid w:val="005630D7"/>
    <w:rsid w:val="0056728F"/>
    <w:rsid w:val="0057592B"/>
    <w:rsid w:val="00586C6C"/>
    <w:rsid w:val="005D54A2"/>
    <w:rsid w:val="005F29EF"/>
    <w:rsid w:val="00614004"/>
    <w:rsid w:val="006214E7"/>
    <w:rsid w:val="00624882"/>
    <w:rsid w:val="006304A9"/>
    <w:rsid w:val="00635003"/>
    <w:rsid w:val="006375CA"/>
    <w:rsid w:val="00651264"/>
    <w:rsid w:val="0065620A"/>
    <w:rsid w:val="00694FF2"/>
    <w:rsid w:val="006A05B0"/>
    <w:rsid w:val="006A762E"/>
    <w:rsid w:val="006E29C0"/>
    <w:rsid w:val="006E5B61"/>
    <w:rsid w:val="006E6B31"/>
    <w:rsid w:val="006E6F50"/>
    <w:rsid w:val="006F43A5"/>
    <w:rsid w:val="006F5CD1"/>
    <w:rsid w:val="006F5FE5"/>
    <w:rsid w:val="0070600D"/>
    <w:rsid w:val="0070602B"/>
    <w:rsid w:val="00712205"/>
    <w:rsid w:val="007246E4"/>
    <w:rsid w:val="00740431"/>
    <w:rsid w:val="007436A1"/>
    <w:rsid w:val="007448F8"/>
    <w:rsid w:val="00766FDE"/>
    <w:rsid w:val="00767020"/>
    <w:rsid w:val="00775FE6"/>
    <w:rsid w:val="007807E0"/>
    <w:rsid w:val="00790A17"/>
    <w:rsid w:val="007A1680"/>
    <w:rsid w:val="007A26F1"/>
    <w:rsid w:val="007A7E8D"/>
    <w:rsid w:val="007B57EA"/>
    <w:rsid w:val="007C52E0"/>
    <w:rsid w:val="007D0EEB"/>
    <w:rsid w:val="007D38F1"/>
    <w:rsid w:val="007F1EAB"/>
    <w:rsid w:val="007F58F4"/>
    <w:rsid w:val="00816BAE"/>
    <w:rsid w:val="0082515A"/>
    <w:rsid w:val="00833ED6"/>
    <w:rsid w:val="0083701E"/>
    <w:rsid w:val="008428F9"/>
    <w:rsid w:val="00852216"/>
    <w:rsid w:val="00852D70"/>
    <w:rsid w:val="00866622"/>
    <w:rsid w:val="008A44D8"/>
    <w:rsid w:val="008B05FF"/>
    <w:rsid w:val="008C3693"/>
    <w:rsid w:val="00913595"/>
    <w:rsid w:val="00926A47"/>
    <w:rsid w:val="0093169D"/>
    <w:rsid w:val="009363AF"/>
    <w:rsid w:val="00994B86"/>
    <w:rsid w:val="009B12EC"/>
    <w:rsid w:val="009B5A13"/>
    <w:rsid w:val="009C27D0"/>
    <w:rsid w:val="009C50D2"/>
    <w:rsid w:val="009D1C7C"/>
    <w:rsid w:val="009F5454"/>
    <w:rsid w:val="00A07069"/>
    <w:rsid w:val="00A16B91"/>
    <w:rsid w:val="00A17464"/>
    <w:rsid w:val="00A43449"/>
    <w:rsid w:val="00A45CBB"/>
    <w:rsid w:val="00A52CC8"/>
    <w:rsid w:val="00A64904"/>
    <w:rsid w:val="00A77B31"/>
    <w:rsid w:val="00A85803"/>
    <w:rsid w:val="00A94D9D"/>
    <w:rsid w:val="00AA3B8C"/>
    <w:rsid w:val="00AB363E"/>
    <w:rsid w:val="00AC4CD8"/>
    <w:rsid w:val="00AE2306"/>
    <w:rsid w:val="00AF6509"/>
    <w:rsid w:val="00B25E9A"/>
    <w:rsid w:val="00B35F09"/>
    <w:rsid w:val="00B454FC"/>
    <w:rsid w:val="00B47477"/>
    <w:rsid w:val="00B60A35"/>
    <w:rsid w:val="00B8579B"/>
    <w:rsid w:val="00B8781B"/>
    <w:rsid w:val="00BC0157"/>
    <w:rsid w:val="00BC15ED"/>
    <w:rsid w:val="00BC72C3"/>
    <w:rsid w:val="00BD182F"/>
    <w:rsid w:val="00C10F2B"/>
    <w:rsid w:val="00C24A12"/>
    <w:rsid w:val="00C27371"/>
    <w:rsid w:val="00C4453D"/>
    <w:rsid w:val="00C46C1B"/>
    <w:rsid w:val="00C61A67"/>
    <w:rsid w:val="00C635B3"/>
    <w:rsid w:val="00C637C9"/>
    <w:rsid w:val="00C86874"/>
    <w:rsid w:val="00C95080"/>
    <w:rsid w:val="00CA4E67"/>
    <w:rsid w:val="00CC4760"/>
    <w:rsid w:val="00CC57B0"/>
    <w:rsid w:val="00CD053F"/>
    <w:rsid w:val="00CD4900"/>
    <w:rsid w:val="00CD50F3"/>
    <w:rsid w:val="00CD7D14"/>
    <w:rsid w:val="00CF3B00"/>
    <w:rsid w:val="00D26F5D"/>
    <w:rsid w:val="00D476AB"/>
    <w:rsid w:val="00D67486"/>
    <w:rsid w:val="00D725FC"/>
    <w:rsid w:val="00D7489A"/>
    <w:rsid w:val="00D77727"/>
    <w:rsid w:val="00D81164"/>
    <w:rsid w:val="00D82945"/>
    <w:rsid w:val="00DA35DA"/>
    <w:rsid w:val="00DA3C89"/>
    <w:rsid w:val="00DA7AF5"/>
    <w:rsid w:val="00DD06E4"/>
    <w:rsid w:val="00DD0FC6"/>
    <w:rsid w:val="00DD3FAC"/>
    <w:rsid w:val="00DD7FA0"/>
    <w:rsid w:val="00DE5E82"/>
    <w:rsid w:val="00DF1797"/>
    <w:rsid w:val="00E03E7B"/>
    <w:rsid w:val="00E074BF"/>
    <w:rsid w:val="00E1088A"/>
    <w:rsid w:val="00E11652"/>
    <w:rsid w:val="00E227FB"/>
    <w:rsid w:val="00E30E29"/>
    <w:rsid w:val="00E3299C"/>
    <w:rsid w:val="00E44550"/>
    <w:rsid w:val="00E7194E"/>
    <w:rsid w:val="00E74BCE"/>
    <w:rsid w:val="00E85562"/>
    <w:rsid w:val="00E93270"/>
    <w:rsid w:val="00EA6D92"/>
    <w:rsid w:val="00EA6FC0"/>
    <w:rsid w:val="00EE6E9D"/>
    <w:rsid w:val="00EF32EC"/>
    <w:rsid w:val="00EF5054"/>
    <w:rsid w:val="00EF508E"/>
    <w:rsid w:val="00F00B2B"/>
    <w:rsid w:val="00F52325"/>
    <w:rsid w:val="00F66820"/>
    <w:rsid w:val="00F670BB"/>
    <w:rsid w:val="00F71304"/>
    <w:rsid w:val="00FC7F92"/>
    <w:rsid w:val="00FF5897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AC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D10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428F9"/>
    <w:pPr>
      <w:keepNext/>
      <w:spacing w:after="0" w:line="240" w:lineRule="auto"/>
      <w:ind w:firstLine="5760"/>
      <w:jc w:val="right"/>
      <w:outlineLvl w:val="2"/>
    </w:pPr>
    <w:rPr>
      <w:sz w:val="28"/>
      <w:szCs w:val="28"/>
      <w:lang w:val="uk-UA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D102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7EE"/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570A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67EE"/>
    <w:rPr>
      <w:rFonts w:ascii="Calibri" w:hAnsi="Calibri" w:cs="Times New Roman"/>
      <w:b/>
      <w:bCs/>
      <w:sz w:val="28"/>
      <w:szCs w:val="28"/>
      <w:lang w:val="ru-RU" w:eastAsia="en-US"/>
    </w:rPr>
  </w:style>
  <w:style w:type="paragraph" w:styleId="NormalWeb">
    <w:name w:val="Normal (Web)"/>
    <w:basedOn w:val="Normal"/>
    <w:uiPriority w:val="99"/>
    <w:rsid w:val="007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90A17"/>
    <w:rPr>
      <w:rFonts w:cs="Times New Roman"/>
    </w:rPr>
  </w:style>
  <w:style w:type="character" w:customStyle="1" w:styleId="rvts9">
    <w:name w:val="rvts9"/>
    <w:basedOn w:val="DefaultParagraphFont"/>
    <w:uiPriority w:val="99"/>
    <w:rsid w:val="00790A17"/>
    <w:rPr>
      <w:rFonts w:cs="Times New Roman"/>
    </w:rPr>
  </w:style>
  <w:style w:type="paragraph" w:customStyle="1" w:styleId="rvps2">
    <w:name w:val="rvps2"/>
    <w:basedOn w:val="Normal"/>
    <w:uiPriority w:val="99"/>
    <w:rsid w:val="0079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D182F"/>
    <w:rPr>
      <w:rFonts w:cs="Times New Roman"/>
      <w:color w:val="0000FF"/>
      <w:u w:val="single"/>
    </w:rPr>
  </w:style>
  <w:style w:type="character" w:customStyle="1" w:styleId="charstyle14">
    <w:name w:val="charstyle14"/>
    <w:basedOn w:val="DefaultParagraphFont"/>
    <w:uiPriority w:val="99"/>
    <w:rsid w:val="00D7489A"/>
    <w:rPr>
      <w:rFonts w:cs="Times New Roman"/>
    </w:rPr>
  </w:style>
  <w:style w:type="paragraph" w:customStyle="1" w:styleId="Default">
    <w:name w:val="Default"/>
    <w:uiPriority w:val="99"/>
    <w:rsid w:val="001B51E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1"/>
    <w:uiPriority w:val="99"/>
    <w:rsid w:val="001B51E8"/>
    <w:pPr>
      <w:tabs>
        <w:tab w:val="center" w:pos="4153"/>
        <w:tab w:val="right" w:pos="8306"/>
      </w:tabs>
      <w:spacing w:after="0" w:line="240" w:lineRule="auto"/>
    </w:pPr>
    <w:rPr>
      <w:rFonts w:ascii="SchoolBook" w:hAnsi="SchoolBook" w:cs="Times New Roman"/>
      <w:sz w:val="24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8F8"/>
    <w:rPr>
      <w:rFonts w:cs="Times New Roman"/>
      <w:lang w:val="ru-RU"/>
    </w:rPr>
  </w:style>
  <w:style w:type="character" w:customStyle="1" w:styleId="HeaderChar1">
    <w:name w:val="Header Char1"/>
    <w:link w:val="Header"/>
    <w:uiPriority w:val="99"/>
    <w:locked/>
    <w:rsid w:val="001B51E8"/>
    <w:rPr>
      <w:rFonts w:ascii="SchoolBook" w:hAnsi="SchoolBook"/>
      <w:sz w:val="24"/>
      <w:lang w:val="uk-UA" w:eastAsia="uk-UA"/>
    </w:rPr>
  </w:style>
  <w:style w:type="character" w:styleId="PageNumber">
    <w:name w:val="page number"/>
    <w:basedOn w:val="DefaultParagraphFont"/>
    <w:uiPriority w:val="99"/>
    <w:rsid w:val="0070602B"/>
    <w:rPr>
      <w:rFonts w:cs="Times New Roman"/>
    </w:rPr>
  </w:style>
  <w:style w:type="character" w:customStyle="1" w:styleId="BodyTextChar1">
    <w:name w:val="Body Text Char1"/>
    <w:uiPriority w:val="99"/>
    <w:locked/>
    <w:rsid w:val="001607AA"/>
    <w:rPr>
      <w:sz w:val="26"/>
    </w:rPr>
  </w:style>
  <w:style w:type="paragraph" w:styleId="BodyText">
    <w:name w:val="Body Text"/>
    <w:basedOn w:val="Normal"/>
    <w:link w:val="BodyTextChar"/>
    <w:uiPriority w:val="99"/>
    <w:rsid w:val="001607AA"/>
    <w:pPr>
      <w:shd w:val="clear" w:color="auto" w:fill="FFFFFF"/>
      <w:spacing w:before="1980" w:after="600" w:line="322" w:lineRule="exact"/>
    </w:pPr>
    <w:rPr>
      <w:rFonts w:cs="Times New Roman"/>
      <w:sz w:val="26"/>
      <w:szCs w:val="26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570A"/>
    <w:rPr>
      <w:rFonts w:cs="Times New Roman"/>
      <w:lang w:val="ru-RU"/>
    </w:rPr>
  </w:style>
  <w:style w:type="table" w:styleId="TableGrid">
    <w:name w:val="Table Grid"/>
    <w:basedOn w:val="TableNormal"/>
    <w:uiPriority w:val="99"/>
    <w:locked/>
    <w:rsid w:val="008428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A76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363AF"/>
    <w:rPr>
      <w:rFonts w:ascii="Times New Roman" w:hAnsi="Times New Roman" w:cs="Times New Roman"/>
      <w:sz w:val="2"/>
      <w:szCs w:val="2"/>
      <w:lang w:val="ru-RU"/>
    </w:rPr>
  </w:style>
  <w:style w:type="paragraph" w:styleId="Footer">
    <w:name w:val="footer"/>
    <w:basedOn w:val="Normal"/>
    <w:link w:val="FooterChar"/>
    <w:uiPriority w:val="99"/>
    <w:rsid w:val="00D476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63AF"/>
    <w:rPr>
      <w:rFonts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40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3AF"/>
    <w:rPr>
      <w:rFonts w:ascii="Times New Roman" w:hAnsi="Times New Roman" w:cs="Times New Roman"/>
      <w:sz w:val="2"/>
      <w:szCs w:val="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15</Pages>
  <Words>19280</Words>
  <Characters>10990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userk</dc:creator>
  <cp:keywords/>
  <dc:description/>
  <cp:lastModifiedBy>admin</cp:lastModifiedBy>
  <cp:revision>2</cp:revision>
  <cp:lastPrinted>2017-03-09T07:58:00Z</cp:lastPrinted>
  <dcterms:created xsi:type="dcterms:W3CDTF">2017-03-09T07:58:00Z</dcterms:created>
  <dcterms:modified xsi:type="dcterms:W3CDTF">2017-03-09T07:58:00Z</dcterms:modified>
</cp:coreProperties>
</file>